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40"/>
          <w:szCs w:val="40"/>
        </w:rPr>
        <w:t xml:space="preserve">Project Work – Part I</w:t>
      </w:r>
    </w:p>
    <w:p>
      <w:pPr>
        <w:spacing w:after="480"/>
        <w:jc w:val="center"/>
      </w:pPr>
      <w:r>
        <w:rPr>
          <w:i/>
          <w:iCs/>
          <w:sz w:val="28"/>
          <w:szCs w:val="28"/>
        </w:rPr>
        <w:t xml:space="preserve">Scripted Infrastructure-as-Code Definition for Azure</w:t>
      </w:r>
    </w:p>
    <w:p>
      <w:pPr>
        <w:spacing w:after="120"/>
      </w:pPr>
      <w:r>
        <w:t xml:space="preserve">Course:    Cloud Infrastructure / DevOps – Hochschule Aalen</w:t>
      </w:r>
    </w:p>
    <w:p>
      <w:pPr>
        <w:spacing w:after="120"/>
      </w:pPr>
      <w:r>
        <w:t xml:space="preserve">Author:    &lt;Last name, First name&gt; – &lt;Matriculation number&gt;</w:t>
      </w:r>
    </w:p>
    <w:p>
      <w:pPr>
        <w:spacing w:after="120"/>
      </w:pPr>
      <w:r>
        <w:t xml:space="preserve">Hand-In:   3rd of June, 2026</w:t>
      </w:r>
    </w:p>
    <w:p>
      <w:pPr>
        <w:spacing w:after="120"/>
      </w:pPr>
      <w:r>
        <w:t xml:space="preserve">Cloud:     Microsoft Azure</w:t>
      </w:r>
    </w:p>
    <w:p>
      <w:pPr>
        <w:spacing w:after="120"/>
      </w:pPr>
      <w:r>
        <w:t xml:space="preserve">IaC tool:  Terraform (azurerm provider, v4.x)</w:t>
      </w:r>
    </w:p>
    <w:p>
      <w:pPr>
        <w:pStyle w:val="Heading1"/>
      </w:pPr>
      <w:r>
        <w:t xml:space="preserve">1. Approach</w:t>
      </w:r>
    </w:p>
    <w:p>
      <w:pPr>
        <w:spacing w:after="120"/>
      </w:pPr>
      <w:r>
        <w:t xml:space="preserve">The goal of Part I is to provide a fully scripted, reproducible Azure landing zone that will host the cloud application built in Part II. The application stores and displays images in a storage account and reads its sensitive configuration from a key vault. Part I therefore provisions every Azure resource needed by that application, but not the application code itself.</w:t>
      </w:r>
    </w:p>
    <w:p>
      <w:pPr>
        <w:pStyle w:val="Heading2"/>
      </w:pPr>
      <w:r>
        <w:t xml:space="preserve">1.1 Tool choice</w:t>
      </w:r>
    </w:p>
    <w:p>
      <w:pPr>
        <w:spacing w:after="120"/>
      </w:pPr>
      <w:r>
        <w:t xml:space="preserve">Terraform (HashiCorp) was chosen because it is the de-facto standard multi-cloud IaC tool, its declarative HCL syntax is well suited to small lab projects, and the official azurerm provider exposes every resource needed here. State is kept locally for the lab; the providers.tf file contains a commented-out azurerm backend block that can be enabled for a remote state once a dedicated state storage account exists.</w:t>
      </w:r>
    </w:p>
    <w:p>
      <w:pPr>
        <w:pStyle w:val="Heading2"/>
      </w:pPr>
      <w:r>
        <w:t xml:space="preserve">1.2 Code structure</w:t>
      </w:r>
    </w:p>
    <w:p>
      <w:pPr>
        <w:spacing w:after="120"/>
      </w:pPr>
      <w:r>
        <w:t xml:space="preserve">The Terraform code is split into single-responsibility files:</w:t>
      </w:r>
    </w:p>
    <w:p>
      <w:pPr>
        <w:pStyle w:val="ListParagraph"/>
        <w:numPr>
          <w:ilvl w:val="0"/>
          <w:numId w:val="2"/>
        </w:numPr>
      </w:pPr>
      <w:r>
        <w:rPr>
          <w:rFonts w:ascii="Consolas" w:cs="Consolas" w:eastAsia="Consolas" w:hAnsi="Consolas"/>
          <w:b/>
          <w:bCs/>
        </w:rPr>
        <w:t xml:space="preserve">providers.tf </w:t>
      </w:r>
      <w:r>
        <w:t xml:space="preserve">– required Terraform version, azurerm provider configuration and the optional remote backend.</w:t>
      </w:r>
    </w:p>
    <w:p>
      <w:pPr>
        <w:pStyle w:val="ListParagraph"/>
        <w:numPr>
          <w:ilvl w:val="0"/>
          <w:numId w:val="2"/>
        </w:numPr>
      </w:pPr>
      <w:r>
        <w:rPr>
          <w:rFonts w:ascii="Consolas" w:cs="Consolas" w:eastAsia="Consolas" w:hAnsi="Consolas"/>
          <w:b/>
          <w:bCs/>
        </w:rPr>
        <w:t xml:space="preserve">variables.tf </w:t>
      </w:r>
      <w:r>
        <w:t xml:space="preserve">– every value that can change between environments (prefix, region, SKU, Python version, tags).</w:t>
      </w:r>
    </w:p>
    <w:p>
      <w:pPr>
        <w:pStyle w:val="ListParagraph"/>
        <w:numPr>
          <w:ilvl w:val="0"/>
          <w:numId w:val="2"/>
        </w:numPr>
      </w:pPr>
      <w:r>
        <w:rPr>
          <w:rFonts w:ascii="Consolas" w:cs="Consolas" w:eastAsia="Consolas" w:hAnsi="Consolas"/>
          <w:b/>
          <w:bCs/>
        </w:rPr>
        <w:t xml:space="preserve">main.tf </w:t>
      </w:r>
      <w:r>
        <w:t xml:space="preserve">– the actual resource graph, grouped into clearly commented sections.</w:t>
      </w:r>
    </w:p>
    <w:p>
      <w:pPr>
        <w:pStyle w:val="ListParagraph"/>
        <w:numPr>
          <w:ilvl w:val="0"/>
          <w:numId w:val="2"/>
        </w:numPr>
      </w:pPr>
      <w:r>
        <w:rPr>
          <w:rFonts w:ascii="Consolas" w:cs="Consolas" w:eastAsia="Consolas" w:hAnsi="Consolas"/>
          <w:b/>
          <w:bCs/>
        </w:rPr>
        <w:t xml:space="preserve">outputs.tf </w:t>
      </w:r>
      <w:r>
        <w:t xml:space="preserve">– values needed for verification or for Part II (vault URI, storage account name, application hostname, MI principal ID).</w:t>
      </w:r>
    </w:p>
    <w:p>
      <w:pPr>
        <w:pStyle w:val="ListParagraph"/>
        <w:numPr>
          <w:ilvl w:val="0"/>
          <w:numId w:val="2"/>
        </w:numPr>
      </w:pPr>
      <w:r>
        <w:rPr>
          <w:rFonts w:ascii="Consolas" w:cs="Consolas" w:eastAsia="Consolas" w:hAnsi="Consolas"/>
          <w:b/>
          <w:bCs/>
        </w:rPr>
        <w:t xml:space="preserve">terraform.tfvars.example </w:t>
      </w:r>
      <w:r>
        <w:t xml:space="preserve">– template for the user-specific values; the real .tfvars file is git-ignored.</w:t>
      </w:r>
    </w:p>
    <w:p>
      <w:pPr>
        <w:pStyle w:val="Heading2"/>
      </w:pPr>
      <w:r>
        <w:t xml:space="preserve">1.3 Naming and uniqueness</w:t>
      </w:r>
    </w:p>
    <w:p>
      <w:pPr>
        <w:spacing w:after="120"/>
      </w:pPr>
      <w:r>
        <w:t xml:space="preserve">Azure storage account names must be globally unique, between 3 and 24 characters, and alphanumeric only. To guarantee uniqueness without manual editing, a four-character random suffix is generated by the random_string resource and appended to every name that requires global uniqueness (storage account, key vault, web app).</w:t>
      </w:r>
    </w:p>
    <w:p>
      <w:pPr>
        <w:pStyle w:val="Heading2"/>
      </w:pPr>
      <w:r>
        <w:t xml:space="preserve">1.4 Lifecycle and clean-up</w:t>
      </w:r>
    </w:p>
    <w:p>
      <w:pPr>
        <w:spacing w:after="120"/>
      </w:pPr>
      <w:r>
        <w:t xml:space="preserve">Because this is a lab environment, key-vault purge protection is disabled and purge_soft_delete_on_destroy is set on the provider, so that "terraform destroy" actually frees the chosen vault name and leaves no soft-deleted residue. In production both flags would be inverted.</w:t>
      </w:r>
    </w:p>
    <w:p>
      <w:pPr>
        <w:pStyle w:val="Heading2"/>
      </w:pPr>
      <w:r>
        <w:t xml:space="preserve">1.5 Reproducible run</w:t>
      </w:r>
    </w:p>
    <w:p>
      <w:pPr>
        <w:spacing w:after="120"/>
      </w:pPr>
      <w:r>
        <w:t xml:space="preserve">A full provision is performed with three commands:</w:t>
      </w:r>
    </w:p>
    <w:p>
      <w:pPr>
        <w:shd w:fill="F2F2F2" w:color="auto" w:val="clear"/>
        <w:spacing w:after="80" w:before="80"/>
      </w:pPr>
      <w:r>
        <w:rPr>
          <w:rFonts w:ascii="Consolas" w:cs="Consolas" w:eastAsia="Consolas" w:hAnsi="Consolas"/>
          <w:sz w:val="20"/>
          <w:szCs w:val="20"/>
        </w:rPr>
        <w:t xml:space="preserve">terraform init</w:t>
      </w:r>
    </w:p>
    <w:p>
      <w:pPr>
        <w:shd w:fill="F2F2F2" w:color="auto" w:val="clear"/>
        <w:spacing w:after="80" w:before="80"/>
      </w:pPr>
      <w:r>
        <w:rPr>
          <w:rFonts w:ascii="Consolas" w:cs="Consolas" w:eastAsia="Consolas" w:hAnsi="Consolas"/>
          <w:sz w:val="20"/>
          <w:szCs w:val="20"/>
        </w:rPr>
        <w:t xml:space="preserve">terraform plan  -out plan.tfplan</w:t>
      </w:r>
    </w:p>
    <w:p>
      <w:pPr>
        <w:shd w:fill="F2F2F2" w:color="auto" w:val="clear"/>
        <w:spacing w:after="80" w:before="80"/>
      </w:pPr>
      <w:r>
        <w:rPr>
          <w:rFonts w:ascii="Consolas" w:cs="Consolas" w:eastAsia="Consolas" w:hAnsi="Consolas"/>
          <w:sz w:val="20"/>
          <w:szCs w:val="20"/>
        </w:rPr>
        <w:t xml:space="preserve">terraform apply plan.tfplan</w:t>
      </w:r>
    </w:p>
    <w:p>
      <w:pPr>
        <w:spacing w:after="120"/>
      </w:pPr>
      <w:r>
        <w:t xml:space="preserve">and torn down again with:</w:t>
      </w:r>
    </w:p>
    <w:p>
      <w:pPr>
        <w:shd w:fill="F2F2F2" w:color="auto" w:val="clear"/>
        <w:spacing w:after="80" w:before="80"/>
      </w:pPr>
      <w:r>
        <w:rPr>
          <w:rFonts w:ascii="Consolas" w:cs="Consolas" w:eastAsia="Consolas" w:hAnsi="Consolas"/>
          <w:sz w:val="20"/>
          <w:szCs w:val="20"/>
        </w:rPr>
        <w:t xml:space="preserve">terraform destroy</w:t>
      </w:r>
    </w:p>
    <w:p>
      <w:pPr>
        <w:pStyle w:val="Heading1"/>
      </w:pPr>
      <w:r>
        <w:t xml:space="preserve">2. Connections between resources</w:t>
      </w:r>
    </w:p>
    <w:p>
      <w:pPr>
        <w:spacing w:after="120"/>
      </w:pPr>
      <w:r>
        <w:t xml:space="preserve">The infrastructure consists of seven Azure resources plus two role assignments. Their topology is:</w:t>
      </w:r>
    </w:p>
    <w:p>
      <w:pPr>
        <w:shd w:fill="F2F2F2" w:color="auto" w:val="clear"/>
        <w:spacing w:after="80" w:before="80"/>
      </w:pPr>
      <w:r>
        <w:rPr>
          <w:rFonts w:ascii="Consolas" w:cs="Consolas" w:eastAsia="Consolas" w:hAnsi="Consolas"/>
          <w:sz w:val="20"/>
          <w:szCs w:val="20"/>
        </w:rPr>
        <w:t xml:space="preserve">Resource Group  ──contains──►  Storage Account  ──contains──►  Blob Container "images"</w:t>
      </w:r>
    </w:p>
    <w:p>
      <w:pPr>
        <w:shd w:fill="F2F2F2" w:color="auto" w:val="clear"/>
        <w:spacing w:after="80" w:before="80"/>
      </w:pPr>
      <w:r>
        <w:rPr>
          <w:rFonts w:ascii="Consolas" w:cs="Consolas" w:eastAsia="Consolas" w:hAnsi="Consolas"/>
          <w:sz w:val="20"/>
          <w:szCs w:val="20"/>
        </w:rPr>
        <w:t xml:space="preserve">                ──contains──►  Key Vault        ──contains──►  Secret "StorageConnectionString"</w:t>
      </w:r>
    </w:p>
    <w:p>
      <w:pPr>
        <w:shd w:fill="F2F2F2" w:color="auto" w:val="clear"/>
        <w:spacing w:after="80" w:before="80"/>
      </w:pPr>
      <w:r>
        <w:rPr>
          <w:rFonts w:ascii="Consolas" w:cs="Consolas" w:eastAsia="Consolas" w:hAnsi="Consolas"/>
          <w:sz w:val="20"/>
          <w:szCs w:val="20"/>
        </w:rPr>
        <w:t xml:space="preserve">                ──contains──►  App Service Plan ──hosts─────►  Linux Web App (Python)</w:t>
      </w:r>
    </w:p>
    <w:p>
      <w:pPr>
        <w:shd w:fill="F2F2F2" w:color="auto" w:val="clear"/>
        <w:spacing w:after="80" w:before="80"/>
      </w:pPr>
      <w:r>
        <w:rPr>
          <w:rFonts w:ascii="Consolas" w:cs="Consolas" w:eastAsia="Consolas" w:hAnsi="Consolas"/>
          <w:sz w:val="20"/>
          <w:szCs w:val="20"/>
        </w:rPr>
        <w:t xml:space="preserve">                                                                     │</w:t>
      </w:r>
    </w:p>
    <w:p>
      <w:pPr>
        <w:shd w:fill="F2F2F2" w:color="auto" w:val="clear"/>
        <w:spacing w:after="80" w:before="80"/>
      </w:pPr>
      <w:r>
        <w:rPr>
          <w:rFonts w:ascii="Consolas" w:cs="Consolas" w:eastAsia="Consolas" w:hAnsi="Consolas"/>
          <w:sz w:val="20"/>
          <w:szCs w:val="20"/>
        </w:rPr>
        <w:t xml:space="preserve">                                                                     │ system-assigned</w:t>
      </w:r>
    </w:p>
    <w:p>
      <w:pPr>
        <w:shd w:fill="F2F2F2" w:color="auto" w:val="clear"/>
        <w:spacing w:after="80" w:before="80"/>
      </w:pPr>
      <w:r>
        <w:rPr>
          <w:rFonts w:ascii="Consolas" w:cs="Consolas" w:eastAsia="Consolas" w:hAnsi="Consolas"/>
          <w:sz w:val="20"/>
          <w:szCs w:val="20"/>
        </w:rPr>
        <w:t xml:space="preserve">                                                                     │ managed identity</w:t>
      </w:r>
    </w:p>
    <w:p>
      <w:pPr>
        <w:shd w:fill="F2F2F2" w:color="auto" w:val="clear"/>
        <w:spacing w:after="80" w:before="80"/>
      </w:pPr>
      <w:r>
        <w:rPr>
          <w:rFonts w:ascii="Consolas" w:cs="Consolas" w:eastAsia="Consolas" w:hAnsi="Consolas"/>
          <w:sz w:val="20"/>
          <w:szCs w:val="20"/>
        </w:rPr>
        <w:t xml:space="preserve">                                                                     ▼</w:t>
      </w:r>
    </w:p>
    <w:p>
      <w:pPr>
        <w:shd w:fill="F2F2F2" w:color="auto" w:val="clear"/>
        <w:spacing w:after="80" w:before="80"/>
      </w:pPr>
      <w:r>
        <w:rPr>
          <w:rFonts w:ascii="Consolas" w:cs="Consolas" w:eastAsia="Consolas" w:hAnsi="Consolas"/>
          <w:sz w:val="20"/>
          <w:szCs w:val="20"/>
        </w:rPr>
        <w:t xml:space="preserve">                                            ┌──────────────────────────────────────┐</w:t>
      </w:r>
    </w:p>
    <w:p>
      <w:pPr>
        <w:shd w:fill="F2F2F2" w:color="auto" w:val="clear"/>
        <w:spacing w:after="80" w:before="80"/>
      </w:pPr>
      <w:r>
        <w:rPr>
          <w:rFonts w:ascii="Consolas" w:cs="Consolas" w:eastAsia="Consolas" w:hAnsi="Consolas"/>
          <w:sz w:val="20"/>
          <w:szCs w:val="20"/>
        </w:rPr>
        <w:t xml:space="preserve">                                            │ Role: Key Vault Secrets User         │ → Key Vault</w:t>
      </w:r>
    </w:p>
    <w:p>
      <w:pPr>
        <w:shd w:fill="F2F2F2" w:color="auto" w:val="clear"/>
        <w:spacing w:after="80" w:before="80"/>
      </w:pPr>
      <w:r>
        <w:rPr>
          <w:rFonts w:ascii="Consolas" w:cs="Consolas" w:eastAsia="Consolas" w:hAnsi="Consolas"/>
          <w:sz w:val="20"/>
          <w:szCs w:val="20"/>
        </w:rPr>
        <w:t xml:space="preserve">                                            │ Role: Storage Blob Data Contributor  │ → Storage Account</w:t>
      </w:r>
    </w:p>
    <w:p>
      <w:pPr>
        <w:shd w:fill="F2F2F2" w:color="auto" w:val="clear"/>
        <w:spacing w:after="80" w:before="80"/>
      </w:pPr>
      <w:r>
        <w:rPr>
          <w:rFonts w:ascii="Consolas" w:cs="Consolas" w:eastAsia="Consolas" w:hAnsi="Consolas"/>
          <w:sz w:val="20"/>
          <w:szCs w:val="20"/>
        </w:rPr>
        <w:t xml:space="preserve">                                            └──────────────────────────────────────┘</w:t>
      </w:r>
    </w:p>
    <w:p>
      <w:pPr>
        <w:pStyle w:val="Heading2"/>
      </w:pPr>
      <w:r>
        <w:t xml:space="preserve">2.1 Resource Group</w:t>
      </w:r>
    </w:p>
    <w:p>
      <w:pPr>
        <w:spacing w:after="120"/>
      </w:pPr>
      <w:r>
        <w:t xml:space="preserve">The Resource Group is the logical and life-cycle boundary that holds every other resource. Deleting it removes everything created in Part I in a single step, which is convenient for the lab.</w:t>
      </w:r>
    </w:p>
    <w:p>
      <w:pPr>
        <w:pStyle w:val="Heading2"/>
      </w:pPr>
      <w:r>
        <w:t xml:space="preserve">2.2 Storage Account and "images" container</w:t>
      </w:r>
    </w:p>
    <w:p>
      <w:pPr>
        <w:spacing w:after="120"/>
      </w:pPr>
      <w:r>
        <w:t xml:space="preserve">A general-purpose v2 storage account is created with LRS replication (the cheapest option and sufficient for a lab) and TLS 1.2 enforced. A private blob container called "images" is provisioned inside it; this is where the Part II application will upload and serve image files. Public blob access is explicitly disabled so that files can only be reached through the application, which generates short-lived SAS tokens or streams the bytes itself.</w:t>
      </w:r>
    </w:p>
    <w:p>
      <w:pPr>
        <w:pStyle w:val="Heading2"/>
      </w:pPr>
      <w:r>
        <w:t xml:space="preserve">2.3 Key Vault</w:t>
      </w:r>
    </w:p>
    <w:p>
      <w:pPr>
        <w:spacing w:after="120"/>
      </w:pPr>
      <w:r>
        <w:t xml:space="preserve">A standard-tier Key Vault is created in RBAC authorization mode (the modern model that replaces the legacy access-policy approach). It holds a single secret, "StorageConnectionString", which contains the storage account primary connection string. The secret value is taken directly from the azurerm_storage_account.primary_connection_string output, so the connection string never appears in source code or in the .tfvars file.</w:t>
      </w:r>
    </w:p>
    <w:p>
      <w:pPr>
        <w:pStyle w:val="Heading2"/>
      </w:pPr>
      <w:r>
        <w:t xml:space="preserve">2.4 App Service Plan and Linux Web App</w:t>
      </w:r>
    </w:p>
    <w:p>
      <w:pPr>
        <w:spacing w:after="120"/>
      </w:pPr>
      <w:r>
        <w:t xml:space="preserve">A Linux App Service Plan in the B1 SKU hosts a Linux Web App with the Python 3.12 runtime. The plan SKU is parameterised so it can be changed to F1 (free) or to a Premium SKU without code changes. HTTPS is enforced on the web app, and a system-assigned managed identity is enabled – this identity is the linchpin of the authentication design described in section 3.</w:t>
      </w:r>
    </w:p>
    <w:p>
      <w:pPr>
        <w:pStyle w:val="Heading2"/>
      </w:pPr>
      <w:r>
        <w:t xml:space="preserve">2.5 App settings as the wiring layer</w:t>
      </w:r>
    </w:p>
    <w:p>
      <w:pPr>
        <w:spacing w:after="120"/>
      </w:pPr>
      <w:r>
        <w:t xml:space="preserve">The web app receives three app settings that act as the connection glue between the running application and the rest of the infrastructure:</w:t>
      </w:r>
    </w:p>
    <w:p>
      <w:pPr>
        <w:pStyle w:val="ListParagraph"/>
        <w:numPr>
          <w:ilvl w:val="0"/>
          <w:numId w:val="2"/>
        </w:numPr>
      </w:pPr>
      <w:r>
        <w:rPr>
          <w:rFonts w:ascii="Consolas" w:cs="Consolas" w:eastAsia="Consolas" w:hAnsi="Consolas"/>
          <w:b/>
          <w:bCs/>
        </w:rPr>
        <w:t xml:space="preserve">KEY_VAULT_NAME </w:t>
      </w:r>
      <w:r>
        <w:t xml:space="preserve">– name of the vault; the application combines it with the standard *.vault.azure.net suffix to build the URI used by DefaultAzureCredential.</w:t>
      </w:r>
    </w:p>
    <w:p>
      <w:pPr>
        <w:pStyle w:val="ListParagraph"/>
        <w:numPr>
          <w:ilvl w:val="0"/>
          <w:numId w:val="2"/>
        </w:numPr>
      </w:pPr>
      <w:r>
        <w:rPr>
          <w:rFonts w:ascii="Consolas" w:cs="Consolas" w:eastAsia="Consolas" w:hAnsi="Consolas"/>
          <w:b/>
          <w:bCs/>
        </w:rPr>
        <w:t xml:space="preserve">STORAGE_ACCOUNT_NAME </w:t>
      </w:r>
      <w:r>
        <w:t xml:space="preserve">– name of the storage account, used to construct the blob endpoint URL.</w:t>
      </w:r>
    </w:p>
    <w:p>
      <w:pPr>
        <w:pStyle w:val="ListParagraph"/>
        <w:numPr>
          <w:ilvl w:val="0"/>
          <w:numId w:val="2"/>
        </w:numPr>
      </w:pPr>
      <w:r>
        <w:rPr>
          <w:rFonts w:ascii="Consolas" w:cs="Consolas" w:eastAsia="Consolas" w:hAnsi="Consolas"/>
          <w:b/>
          <w:bCs/>
        </w:rPr>
        <w:t xml:space="preserve">IMAGES_CONTAINER_NAME </w:t>
      </w:r>
      <w:r>
        <w:t xml:space="preserve">– name of the container into which images are uploaded.</w:t>
      </w:r>
    </w:p>
    <w:p>
      <w:pPr>
        <w:spacing w:after="120"/>
      </w:pPr>
      <w:r>
        <w:t xml:space="preserve">These three values are non-sensitive (they are not credentials) and are therefore stored as plain app settings rather than as key-vault secrets. The only secret managed by Key Vault is the storage connection string, which is kept available as a fallback path; the primary authentication path is the managed identity.</w:t>
      </w:r>
    </w:p>
    <w:p>
      <w:pPr>
        <w:pStyle w:val="Heading1"/>
      </w:pPr>
      <w:r>
        <w:t xml:space="preserve">3. Authentication / Identity Context</w:t>
      </w:r>
    </w:p>
    <w:p>
      <w:pPr>
        <w:pStyle w:val="Heading2"/>
      </w:pPr>
      <w:r>
        <w:t xml:space="preserve">3.1 Two principals, three boundaries</w:t>
      </w:r>
    </w:p>
    <w:p>
      <w:pPr>
        <w:spacing w:after="120"/>
      </w:pPr>
      <w:r>
        <w:t xml:space="preserve">Three trust boundaries are crossed during the lifetime of the project:</w:t>
      </w:r>
    </w:p>
    <w:p>
      <w:pPr>
        <w:pStyle w:val="ListParagraph"/>
        <w:numPr>
          <w:ilvl w:val="0"/>
          <w:numId w:val="2"/>
        </w:numPr>
      </w:pPr>
      <w:r>
        <w:t xml:space="preserve">Developer ↔ Azure Resource Manager (during terraform apply)</w:t>
      </w:r>
    </w:p>
    <w:p>
      <w:pPr>
        <w:pStyle w:val="ListParagraph"/>
        <w:numPr>
          <w:ilvl w:val="0"/>
          <w:numId w:val="2"/>
        </w:numPr>
      </w:pPr>
      <w:r>
        <w:t xml:space="preserve">App Service runtime ↔ Key Vault (at application start-up and on demand)</w:t>
      </w:r>
    </w:p>
    <w:p>
      <w:pPr>
        <w:pStyle w:val="ListParagraph"/>
        <w:numPr>
          <w:ilvl w:val="0"/>
          <w:numId w:val="2"/>
        </w:numPr>
      </w:pPr>
      <w:r>
        <w:t xml:space="preserve">App Service runtime ↔ Storage Account (every upload / download)</w:t>
      </w:r>
    </w:p>
    <w:p>
      <w:pPr>
        <w:spacing w:after="120"/>
      </w:pPr>
      <w:r>
        <w:t xml:space="preserve">Each boundary uses a different principal and a different mechanism, summarised below.</w:t>
      </w:r>
    </w:p>
    <w:p>
      <w:pPr>
        <w:pStyle w:val="Heading2"/>
      </w:pPr>
      <w:r>
        <w:t xml:space="preserve">3.2 Deployment-time identity (developer)</w:t>
      </w:r>
    </w:p>
    <w:p>
      <w:pPr>
        <w:spacing w:after="120"/>
      </w:pPr>
      <w:r>
        <w:t xml:space="preserve">Terraform is run from a workstation that has been authenticated with "az login". The azurerm provider picks up the resulting token from the Azure CLI cache; no service principal or client secret is stored in the repository. The data source azurerm_client_config.current is used to look up the deploying user's object ID, which is then granted the "Key Vault Administrator" RBAC role on the vault so that Terraform can create the initial secret immediately after the vault is provisioned.</w:t>
      </w:r>
    </w:p>
    <w:p>
      <w:pPr>
        <w:pStyle w:val="Heading2"/>
      </w:pPr>
      <w:r>
        <w:t xml:space="preserve">3.3 Run-time identity (App Service)</w:t>
      </w:r>
    </w:p>
    <w:p>
      <w:pPr>
        <w:spacing w:after="120"/>
      </w:pPr>
      <w:r>
        <w:t xml:space="preserve">The Linux Web App is configured with a system-assigned managed identity. Azure automatically creates an Entra ID (formerly Azure AD) service principal whose lifecycle is tied to the web app: it is created with the web app and deleted with it. The application code in Part II never sees a password or connection string at start-up – it uses DefaultAzureCredential from the Azure SDK, which automatically discovers the managed identity through the IMDS endpoint available inside the App Service sandbox.</w:t>
      </w:r>
    </w:p>
    <w:p>
      <w:pPr>
        <w:pStyle w:val="Heading2"/>
      </w:pPr>
      <w:r>
        <w:t xml:space="preserve">3.4 RBAC role assignments</w:t>
      </w:r>
    </w:p>
    <w:p>
      <w:pPr>
        <w:spacing w:after="120"/>
      </w:pPr>
      <w:r>
        <w:t xml:space="preserve">The managed identity is given the smallest privileges that still let the application work:</w:t>
      </w:r>
    </w:p>
    <w:p>
      <w:pPr>
        <w:pStyle w:val="ListParagraph"/>
        <w:numPr>
          <w:ilvl w:val="0"/>
          <w:numId w:val="2"/>
        </w:numPr>
      </w:pPr>
      <w:r>
        <w:rPr>
          <w:b/>
          <w:bCs/>
        </w:rPr>
        <w:t xml:space="preserve">Key Vault Secrets User </w:t>
      </w:r>
      <w:r>
        <w:t xml:space="preserve">on the vault – allows reading secret values but not creating, updating or listing access policies.</w:t>
      </w:r>
    </w:p>
    <w:p>
      <w:pPr>
        <w:pStyle w:val="ListParagraph"/>
        <w:numPr>
          <w:ilvl w:val="0"/>
          <w:numId w:val="2"/>
        </w:numPr>
      </w:pPr>
      <w:r>
        <w:rPr>
          <w:b/>
          <w:bCs/>
        </w:rPr>
        <w:t xml:space="preserve">Storage Blob Data Contributor </w:t>
      </w:r>
      <w:r>
        <w:t xml:space="preserve">on the storage account – allows uploading, downloading and deleting blobs inside any container, but does not grant management-plane permissions such as rotating keys or changing the firewall.</w:t>
      </w:r>
    </w:p>
    <w:p>
      <w:pPr>
        <w:spacing w:after="120"/>
      </w:pPr>
      <w:r>
        <w:t xml:space="preserve">Both assignments are scoped to a single resource (the vault and the storage account respectively), not to the resource group, so that the identity cannot be silently re-used against other resources that may be added in the future.</w:t>
      </w:r>
    </w:p>
    <w:p>
      <w:pPr>
        <w:pStyle w:val="Heading2"/>
      </w:pPr>
      <w:r>
        <w:t xml:space="preserve">3.5 Why this is better than connection strings</w:t>
      </w:r>
    </w:p>
    <w:p>
      <w:pPr>
        <w:spacing w:after="120"/>
      </w:pPr>
      <w:r>
        <w:t xml:space="preserve">Storing the storage account key or a SAS token as an environment variable would have been simpler but would mean: (a) the secret has to be rotated manually; (b) anyone who can read the App Service configuration can exfiltrate the key and use it from anywhere on the internet; (c) revocation requires regenerating the key, which breaks every other service that might be using it. The managed-identity approach removes all three problems: the credential never leaves the Azure platform, it is rotated automatically by Microsoft, and access can be removed instantly by deleting the role assignment.</w:t>
      </w:r>
    </w:p>
    <w:p>
      <w:pPr>
        <w:pStyle w:val="Heading2"/>
      </w:pPr>
      <w:r>
        <w:t xml:space="preserve">3.6 Identity flow at runtime</w:t>
      </w:r>
    </w:p>
    <w:p>
      <w:pPr>
        <w:spacing w:after="120"/>
      </w:pPr>
      <w:r>
        <w:t xml:space="preserve">A typical request flows as follows:</w:t>
      </w:r>
    </w:p>
    <w:p>
      <w:pPr>
        <w:pStyle w:val="ListParagraph"/>
        <w:numPr>
          <w:ilvl w:val="0"/>
          <w:numId w:val="2"/>
        </w:numPr>
      </w:pPr>
      <w:r>
        <w:t xml:space="preserve">1. The user calls a route on the Linux Web App.</w:t>
      </w:r>
    </w:p>
    <w:p>
      <w:pPr>
        <w:pStyle w:val="ListParagraph"/>
        <w:numPr>
          <w:ilvl w:val="0"/>
          <w:numId w:val="2"/>
        </w:numPr>
      </w:pPr>
      <w:r>
        <w:t xml:space="preserve">2. The Python application calls DefaultAzureCredential().get_token() to obtain an Entra access token for "https://storage.azure.com".</w:t>
      </w:r>
    </w:p>
    <w:p>
      <w:pPr>
        <w:pStyle w:val="ListParagraph"/>
        <w:numPr>
          <w:ilvl w:val="0"/>
          <w:numId w:val="2"/>
        </w:numPr>
      </w:pPr>
      <w:r>
        <w:t xml:space="preserve">3. The Azure SDK silently calls the IMDS endpoint inside the App Service sandbox; the platform returns a token signed for the managed identity.</w:t>
      </w:r>
    </w:p>
    <w:p>
      <w:pPr>
        <w:pStyle w:val="ListParagraph"/>
        <w:numPr>
          <w:ilvl w:val="0"/>
          <w:numId w:val="2"/>
        </w:numPr>
      </w:pPr>
      <w:r>
        <w:t xml:space="preserve">4. The application sends the token together with the blob request; Azure Storage validates the token, checks RBAC, and serves or stores the blob.</w:t>
      </w:r>
    </w:p>
    <w:p>
      <w:pPr>
        <w:pStyle w:val="ListParagraph"/>
        <w:numPr>
          <w:ilvl w:val="0"/>
          <w:numId w:val="2"/>
        </w:numPr>
      </w:pPr>
      <w:r>
        <w:t xml:space="preserve">5. For configuration values, the same flow is used against Key Vault with the "https://vault.azure.net" audience.</w:t>
      </w:r>
    </w:p>
    <w:p>
      <w:pPr>
        <w:pStyle w:val="Heading1"/>
      </w:pPr>
      <w:r>
        <w:t xml:space="preserve">4. Summary</w:t>
      </w:r>
    </w:p>
    <w:p>
      <w:pPr>
        <w:spacing w:after="120"/>
      </w:pPr>
      <w:r>
        <w:t xml:space="preserve">Part I delivers an idempotent, single-command Terraform definition that produces a resource group, a storage account with a private images container, a Key Vault holding the storage connection string secret, and a Linux App Service with a system-assigned managed identity that has the minimum RBAC roles needed to read the secret and to read and write blobs. No long-lived credentials are stored in the repository or in the application configuration. The output values (vault URI, storage account name, web-app hostname, principal ID) provide the inputs needed for Part II.</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88888"/>
        <w:sz w:val="18"/>
        <w:szCs w:val="18"/>
      </w:rPr>
      <w:t xml:space="preserve">Project Work – Part I</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80" w:before="360"/>
      <w:outlineLvl w:val="0"/>
    </w:pPr>
    <w:rPr>
      <w:rFonts w:ascii="Arial" w:cs="Arial" w:eastAsia="Arial" w:hAnsi="Arial"/>
      <w:b/>
      <w:bCs/>
      <w:color w:val="8B0F4D"/>
      <w:sz w:val="32"/>
      <w:szCs w:val="32"/>
    </w:rPr>
  </w:style>
  <w:style w:type="paragraph" w:styleId="Heading2">
    <w:name w:val="Heading 2"/>
    <w:basedOn w:val="Normal"/>
    <w:next w:val="Normal"/>
    <w:qFormat/>
    <w:pPr>
      <w:spacing w:after="120" w:before="240"/>
      <w:outlineLvl w:val="1"/>
    </w:pPr>
    <w:rPr>
      <w:rFonts w:ascii="Arial" w:cs="Arial" w:eastAsia="Arial" w:hAnsi="Arial"/>
      <w:b/>
      <w:bCs/>
      <w:color w:val="333333"/>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Work Part I – Description</dc:title>
  <dc:creator>Project Work Part I</dc:creator>
  <cp:lastModifiedBy>Un-named</cp:lastModifiedBy>
  <cp:revision>1</cp:revision>
  <dcterms:created xsi:type="dcterms:W3CDTF">2026-05-26T11:30:52.788Z</dcterms:created>
  <dcterms:modified xsi:type="dcterms:W3CDTF">2026-05-26T11:30:52.789Z</dcterms:modified>
</cp:coreProperties>
</file>

<file path=docProps/custom.xml><?xml version="1.0" encoding="utf-8"?>
<Properties xmlns="http://schemas.openxmlformats.org/officeDocument/2006/custom-properties" xmlns:vt="http://schemas.openxmlformats.org/officeDocument/2006/docPropsVTypes"/>
</file>