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64"/>
      </w:pPr>
      <w:r>
        <w:rPr>
          <w:b/>
          <w:bCs/>
          <w:sz w:val="17"/>
          <w:szCs w:val="17"/>
        </w:rPr>
        <w:t xml:space="preserve">GATL_2026_2027 · UD2_LOS VEHÍCULOS EN EL TRANSPORTE INTERNACIONAL</w:t>
      </w:r>
    </w:p>
    <w:p>
      <w:pPr>
        <w:spacing w:after="100" w:before="0" w:line="264"/>
      </w:pPr>
      <w:r>
        <w:rPr>
          <w:b/>
          <w:bCs/>
          <w:sz w:val="28"/>
          <w:szCs w:val="28"/>
        </w:rPr>
        <w:t xml:space="preserve">GUÍA DEL DOCENTE · Actividad “Bogies: carga y compatibilidad ferroviaria”</w:t>
      </w:r>
    </w:p>
    <w:p>
      <w:pPr>
        <w:spacing w:after="100" w:before="0" w:line="264"/>
      </w:pPr>
      <w:r>
        <w:t xml:space="preserve">Sesión de 55 minutos · grupos de 4 · un dispositivo con internet por grupo (mínimo). Material: ficha del alumnado impresa (4 páginas A4; si hay que ahorrar papel, a doble cara y 2 hojas).</w:t>
      </w:r>
    </w:p>
    <w:p>
      <w:pPr>
        <w:keepNext/>
        <w:pBdr>
          <w:left w:val="single" w:color="1A1A1A" w:sz="36" w:space="6"/>
        </w:pBdr>
        <w:shd w:fill="FFD24D" w:val="clear"/>
        <w:spacing w:after="100" w:before="200"/>
        <w:ind w:left="0"/>
      </w:pPr>
      <w:r>
        <w:rPr>
          <w:b/>
          <w:bCs/>
          <w:sz w:val="23"/>
          <w:szCs w:val="23"/>
        </w:rPr>
        <w:t xml:space="preserve">QUÉ CAMBIA RESPECTO A LA VERSIÓN DEL CURSO PASADO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</w:rPr>
        <w:t xml:space="preserve">Un hilo conductor</w:t>
      </w:r>
      <w:r>
        <w:t xml:space="preserve"> (la misión Madrid–Verona) en lugar de tres bloques sueltos (investigación, caso de camión, caso Valladolid–Sevilla). Todo desemboca en una recomendación final.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</w:rPr>
        <w:t xml:space="preserve">Cronometrada</w:t>
      </w:r>
      <w:r>
        <w:t xml:space="preserve"> para 55 min, con fases de 5–12 min y roles en el grupo. La versión anterior era una investigación abierta que no cabía en una sesión.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</w:rPr>
        <w:t xml:space="preserve">Tablas y cálculo guiado</w:t>
      </w:r>
      <w:r>
        <w:t xml:space="preserve"> para sacar el máximo partido a poco tiempo: tipos de bogie, carga útil (ejes × t/eje − tara), emparejar soluciones de ancho, matriz de decisión.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</w:rPr>
        <w:t xml:space="preserve">Las dos preguntas del caso anterior se conservan</w:t>
      </w:r>
      <w:r>
        <w:t xml:space="preserve"> (vehículo/conductor para la carretera y “¿tren o camión?”) pero ahora con datos para argumentar.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</w:rPr>
        <w:t xml:space="preserve">Fuentes reducidas por fase</w:t>
      </w:r>
      <w:r>
        <w:t xml:space="preserve"> (se mantienen las que ya usaste) y reto extra sobre otras barreras técnicas (electrificación, señalización, longitud de tren).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</w:rPr>
        <w:t xml:space="preserve">Ticket de salida individual</w:t>
      </w:r>
      <w:r>
        <w:t xml:space="preserve"> para comprobar en 5 min que cada alumno/a ha entendido lo esencial.</w:t>
      </w:r>
    </w:p>
    <w:p>
      <w:pPr>
        <w:keepNext/>
        <w:pBdr>
          <w:left w:val="single" w:color="1A1A1A" w:sz="36" w:space="6"/>
        </w:pBdr>
        <w:shd w:fill="FFD24D" w:val="clear"/>
        <w:spacing w:after="100" w:before="200"/>
        <w:ind w:left="0"/>
      </w:pPr>
      <w:r>
        <w:rPr>
          <w:b/>
          <w:bCs/>
          <w:sz w:val="23"/>
          <w:szCs w:val="23"/>
        </w:rPr>
        <w:t xml:space="preserve">GUION DE LA SESIÓN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300"/>
        <w:gridCol w:w="6338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2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Min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2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Fase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2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Qué haces tú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0–5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0 · Arranque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Proyecta las fotos. Lee la misión en voz alta (1 min). Reparte roles. No dejes buscar en internet: lo que quieres es activar conocimientos previos y que descubran que no saben qué es un bogie.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5–15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1 · Tipos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 alumno/a busca una fila y la comparten. Circula por los grupos. Si van lentos, acepta solo 3 tipos obligatorios (tres piezas, Y25, Jacobs).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15–27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2 · Carga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Momento clave. Pide que hagan el cálculo ellos/as; comprueba que entienden que </w:t>
            </w:r>
            <w:r>
              <w:rPr>
                <w:b w:val="false"/>
                <w:bCs w:val="false"/>
                <w:sz w:val="19"/>
                <w:szCs w:val="19"/>
              </w:rPr>
              <w:t xml:space="preserve">el límite lo da el eje y la vía, no el vagón</w:t>
            </w:r>
            <w:r>
              <w:rPr>
                <w:b w:val="false"/>
                <w:bCs w:val="false"/>
                <w:sz w:val="19"/>
                <w:szCs w:val="19"/>
              </w:rPr>
              <w:t xml:space="preserve">. Pregunta: “¿y si el vagón tuviera 6 ejes?”.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27–38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3 · Ancho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Entra con la pregunta de la frontera. Revisa la tabla 3.2 en alto (1 minuto). Si hay tiempo, enseña un vídeo/foto de un cambiador.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38–50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4 · Decisión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 grupo rellena la matriz y redacta. Elige 2–3 portavoces al azar para leer su recomendación (votación a mano alzada: camión / tren / combinado).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50–55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Cierre</w:t>
            </w:r>
          </w:p>
        </w:tc>
        <w:tc>
          <w:tcPr>
            <w:tcW w:type="dxa" w:w="6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Ticket de salida individual. Recógelo: sirve de evaluación formativa.</w:t>
            </w:r>
          </w:p>
        </w:tc>
      </w:tr>
    </w:tbl>
    <w:p>
      <w:pPr>
        <w:keepNext/>
        <w:pBdr>
          <w:left w:val="single" w:color="1A1A1A" w:sz="36" w:space="6"/>
        </w:pBdr>
        <w:shd w:fill="FFD24D" w:val="clear"/>
        <w:spacing w:after="100" w:before="200"/>
        <w:ind w:left="0"/>
      </w:pPr>
      <w:r>
        <w:rPr>
          <w:b/>
          <w:bCs/>
          <w:sz w:val="23"/>
          <w:szCs w:val="23"/>
        </w:rPr>
        <w:t xml:space="preserve">SOLUCIONES Y NOTAS</w:t>
      </w:r>
    </w:p>
    <w:p>
      <w:pPr>
        <w:spacing w:after="80" w:before="0" w:line="264"/>
      </w:pPr>
      <w:r>
        <w:rPr>
          <w:i/>
          <w:iCs/>
        </w:rPr>
        <w:t xml:space="preserve">Los datos numéricos son orientativos y de nivel didáctico; verifícalos si quieres citarlos como normativa.</w:t>
      </w:r>
    </w:p>
    <w:p>
      <w:pPr>
        <w:keepNext/>
        <w:spacing w:after="60" w:before="120"/>
      </w:pPr>
      <w:r>
        <w:rPr>
          <w:b/>
          <w:bCs/>
          <w:sz w:val="22"/>
          <w:szCs w:val="22"/>
        </w:rPr>
        <w:t xml:space="preserve">Fase 0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Bajo el bastidor del vagón. Ruedas y ejes (rodadura), suspensión (muelles), bastidor, caja de grasa/rodamientos y frenos.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Sin bogie, ruedas fijas a la caja no pueden orientarse en las curvas y concentrarían el peso en 4 puntos; el bogie pivota bajo el vagón y reparte la carga.</w:t>
      </w:r>
    </w:p>
    <w:p>
      <w:pPr>
        <w:keepNext/>
        <w:spacing w:after="60" w:before="120"/>
      </w:pPr>
      <w:r>
        <w:rPr>
          <w:b/>
          <w:bCs/>
          <w:sz w:val="22"/>
          <w:szCs w:val="22"/>
        </w:rPr>
        <w:t xml:space="preserve">Fase 1 · Tipos de bogie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00"/>
        <w:gridCol w:w="3338"/>
      </w:tblGrid>
      <w:tr>
        <w:trPr>
          <w:cantSplit/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2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2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Característica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2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Uso / ventaja</w:t>
            </w:r>
          </w:p>
        </w:tc>
      </w:tr>
      <w:tr>
        <w:trPr>
          <w:cantSplit/>
          <w:trHeight w:val="500" w:hRule="atLeast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Tres piezas (Barber)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Dos largueros laterales y una traviesa con muelles; sencillo, robusto y barato.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Mercancías, sobre todo América/EE. UU. Bajo coste de mantenimiento; peor en alta velocidad y en curvas cerradas.</w:t>
            </w:r>
          </w:p>
        </w:tc>
      </w:tr>
      <w:tr>
        <w:trPr>
          <w:cantSplit/>
          <w:trHeight w:val="500" w:hRule="atLeast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Y25 (UIC)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Bastidor soldado en una pieza, ejes con suspensión de muelles helicoidales. Hasta 22,5 t/eje y 120 km/h.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Estándar europeo de vagones de mercancías (portacontenedores, tolvas, cisternas).</w:t>
            </w:r>
          </w:p>
        </w:tc>
      </w:tr>
      <w:tr>
        <w:trPr>
          <w:cantSplit/>
          <w:trHeight w:val="500" w:hRule="atLeast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Jacobs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Un único bogie compartido entre dos cuerpos o vagones contiguos (articulación).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Trenes articulados y vagones portacontenedores articulados. Menos ejes y menos peso, mejor estabilidad.</w:t>
            </w:r>
          </w:p>
        </w:tc>
      </w:tr>
      <w:tr>
        <w:trPr>
          <w:cantSplit/>
          <w:trHeight w:val="500" w:hRule="atLeast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Radial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Los ejes se orientan solos en curva.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Menos desgaste de ruedas y carriles, menos ruido, mejor paso por curvas cerradas.</w:t>
            </w:r>
          </w:p>
        </w:tc>
      </w:tr>
      <w:tr>
        <w:trPr>
          <w:cantSplit/>
          <w:trHeight w:val="500" w:hRule="atLeast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Motor / remolcado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El motor lleva motores de tracción; el remolcado solo soporta.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Locomotoras y automotores frente a coches y vagones.</w:t>
            </w:r>
          </w:p>
        </w:tc>
      </w:tr>
    </w:tbl>
    <w:p>
      <w:pPr>
        <w:spacing w:after="80" w:before="80" w:line="264"/>
      </w:pPr>
      <w:r>
        <w:t xml:space="preserve">Mejoras modernas (cualquiera de estas): aceros de alta resistencia y aleaciones ligeras, soldadura automatizada, suspensión neumática o de doble rigidez, frenos de zapata composite (menos ruido), sensores para mantenimiento predictivo.</w:t>
      </w:r>
    </w:p>
    <w:p>
      <w:pPr>
        <w:keepNext/>
        <w:spacing w:after="60" w:before="120"/>
      </w:pPr>
      <w:r>
        <w:rPr>
          <w:b/>
          <w:bCs/>
          <w:sz w:val="22"/>
          <w:szCs w:val="22"/>
        </w:rPr>
        <w:t xml:space="preserve">Fase 2 · Carga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19"/>
        <w:gridCol w:w="2819"/>
      </w:tblGrid>
      <w:tr>
        <w:trPr>
          <w:cantSplit/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2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2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2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Línea C (20 t/eje)</w:t>
            </w:r>
          </w:p>
        </w:tc>
        <w:tc>
          <w:tcPr>
            <w:tcW w:type="dxa" w:w="2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2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Línea D (22,5 t/eje)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Peso bruto máximo</w:t>
            </w:r>
          </w:p>
        </w:tc>
        <w:tc>
          <w:tcPr>
            <w:tcW w:type="dxa" w:w="2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4 × 20 = 80 t</w:t>
            </w:r>
          </w:p>
        </w:tc>
        <w:tc>
          <w:tcPr>
            <w:tcW w:type="dxa" w:w="2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4 × 22,5 = 90 t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Carga útil</w:t>
            </w:r>
          </w:p>
        </w:tc>
        <w:tc>
          <w:tcPr>
            <w:tcW w:type="dxa" w:w="2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80 − 24 = </w:t>
            </w:r>
            <w:r>
              <w:rPr>
                <w:b w:val="false"/>
                <w:bCs w:val="false"/>
                <w:sz w:val="19"/>
                <w:szCs w:val="19"/>
              </w:rPr>
              <w:t xml:space="preserve">56 t</w:t>
            </w:r>
          </w:p>
        </w:tc>
        <w:tc>
          <w:tcPr>
            <w:tcW w:type="dxa" w:w="2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90 − 24 = </w:t>
            </w:r>
            <w:r>
              <w:rPr>
                <w:b w:val="false"/>
                <w:bCs w:val="false"/>
                <w:sz w:val="19"/>
                <w:szCs w:val="19"/>
              </w:rPr>
              <w:t xml:space="preserve">66 t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</w:rPr>
        <w:t xml:space="preserve">54 t:</w:t>
      </w:r>
      <w:r>
        <w:t xml:space="preserve"> cabe en los dos casos (en C, con solo 2 t de margen). </w:t>
      </w:r>
      <w:r>
        <w:rPr>
          <w:b/>
          <w:bCs/>
        </w:rPr>
        <w:t xml:space="preserve">60 t:</w:t>
      </w:r>
      <w:r>
        <w:t xml:space="preserve"> solo cabe en categoría D; en C habría que repartir en 2 vagones.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Matiz para debatir: un vagón suelto cuesta más que un tren completo; Valladolid–Sevilla es toda red ibérica (no hay cambio de ancho) y para 54 t el camión puede ser más ágil, mientras que el tren gana en volúmenes grandes.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</w:rPr>
        <w:t xml:space="preserve">2.2:</w:t>
      </w:r>
      <w:r>
        <w:t xml:space="preserve"> cisterna → bogie estándar (Y25) con bajo centro de gravedad y frenado cuidadoso por el efecto del líquido; portacontenedores → bogies Y25 o articulado Jacobs (vagones largos y ligeros); frigorífico → vagón de caja aislada con equipo de frío; el bogie debe aportar buena suspensión para proteger la mercancía. Valora el razonamiento, no el modelo exacto.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</w:rPr>
        <w:t xml:space="preserve">2.3:</w:t>
      </w:r>
      <w:r>
        <w:t xml:space="preserve"> el bogie fija la velocidad máxima y la estabilidad: suspensión, distancia entre ejes y diseño controlan el “movimiento de lazo”. En vacío un vagón es más inestable, por eso la suspensión de doble rigidez y los frenos proporcionales a la carga.</w:t>
      </w:r>
    </w:p>
    <w:p>
      <w:pPr>
        <w:keepNext/>
        <w:spacing w:after="60" w:before="120"/>
      </w:pPr>
      <w:r>
        <w:rPr>
          <w:b/>
          <w:bCs/>
          <w:sz w:val="22"/>
          <w:szCs w:val="22"/>
        </w:rPr>
        <w:t xml:space="preserve">Fase 3 · Ancho de vía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</w:rPr>
        <w:t xml:space="preserve">3.1:</w:t>
      </w:r>
      <w:r>
        <w:t xml:space="preserve"> las ruedas no encajan en la vía de 1 435 mm; hay que transbordar la carga o cambiar los ejes/ruedas (Irún, Portbou). Supone tiempo, coste y riesgo de daños; es una barrera de interoperabilidad.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</w:rPr>
        <w:t xml:space="preserve">3.2:</w:t>
      </w:r>
      <w:r>
        <w:t xml:space="preserve"> 1 → C · 2 → E · 3 → A · 4 → B · 5 → D.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</w:rPr>
        <w:t xml:space="preserve">3.3:</w:t>
      </w:r>
      <w:r>
        <w:t xml:space="preserve"> ventaja: no se transborda ni se para mucho tiempo. Limitación: el vagón/bogie es más caro y complejo, requiere cambiadores en vía y flota específica. Alternativas: ancho mixto, ancho estándar en corredores prioritarios (Corredor Mediterráneo), plataformas de intermodalidad (contenedor), migrar la red a ancho estándar (estudios a ~30 años).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El motivo del ancho ibérico se atribuye habitualmente al informe de 1844 (6 pies castellanos ≈ 1 668 mm) y a la orografía y las calderas de las locomotoras; hay debate histórico, evita presentarlo como dato cerrado.</w:t>
      </w:r>
    </w:p>
    <w:p>
      <w:pPr>
        <w:keepNext/>
        <w:spacing w:after="60" w:before="120"/>
      </w:pPr>
      <w:r>
        <w:rPr>
          <w:b/>
          <w:bCs/>
          <w:sz w:val="22"/>
          <w:szCs w:val="22"/>
        </w:rPr>
        <w:t xml:space="preserve">Fase 4 · Decisión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79"/>
        <w:gridCol w:w="2379"/>
        <w:gridCol w:w="2380"/>
      </w:tblGrid>
      <w:tr>
        <w:trPr>
          <w:cantSplit/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2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Criterio</w:t>
            </w:r>
          </w:p>
        </w:tc>
        <w:tc>
          <w:tcPr>
            <w:tcW w:type="dxa" w:w="2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2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Camión</w:t>
            </w:r>
          </w:p>
        </w:tc>
        <w:tc>
          <w:tcPr>
            <w:tcW w:type="dxa" w:w="2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2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Tren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2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Combinado</w:t>
            </w:r>
          </w:p>
        </w:tc>
      </w:tr>
      <w:tr>
        <w:trPr>
          <w:cantSplit/>
          <w:trHeight w:val="400" w:hRule="atLeast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Unidades para 60 t</w:t>
            </w:r>
          </w:p>
        </w:tc>
        <w:tc>
          <w:tcPr>
            <w:tcW w:type="dxa" w:w="2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3 camiones (≈ 25 t útiles; MMA 40 t)</w:t>
            </w:r>
          </w:p>
        </w:tc>
        <w:tc>
          <w:tcPr>
            <w:tcW w:type="dxa" w:w="2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1 vagón (red D) o 2 (red C)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Contenedores (≈ 25–26 t) en 1–2 vagones</w:t>
            </w:r>
          </w:p>
        </w:tc>
      </w:tr>
      <w:tr>
        <w:trPr>
          <w:cantSplit/>
          <w:trHeight w:val="400" w:hRule="atLeast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Rupturas</w:t>
            </w:r>
          </w:p>
        </w:tc>
        <w:tc>
          <w:tcPr>
            <w:tcW w:type="dxa" w:w="2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Ninguna</w:t>
            </w:r>
          </w:p>
        </w:tc>
        <w:tc>
          <w:tcPr>
            <w:tcW w:type="dxa" w:w="2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Frontera Cerbère/Portbou o similar; además otros operadores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Transbordo del contenedor en terminal; gestiona el ancho</w:t>
            </w:r>
          </w:p>
        </w:tc>
      </w:tr>
      <w:tr>
        <w:trPr>
          <w:cantSplit/>
          <w:trHeight w:val="400" w:hRule="atLeast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Tiempo</w:t>
            </w:r>
          </w:p>
        </w:tc>
        <w:tc>
          <w:tcPr>
            <w:tcW w:type="dxa" w:w="2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Unos 2–3 días por límites de conducción (9 h/día, 10 h dos veces a la semana, pausa de 45 min cada 4,5 h)</w:t>
            </w:r>
          </w:p>
        </w:tc>
        <w:tc>
          <w:tcPr>
            <w:tcW w:type="dxa" w:w="2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Variable: esperas en frontera y terminales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Intermedio</w:t>
            </w:r>
          </w:p>
        </w:tc>
      </w:tr>
      <w:tr>
        <w:trPr>
          <w:cantSplit/>
          <w:trHeight w:val="400" w:hRule="atLeast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Flexibilidad</w:t>
            </w:r>
          </w:p>
        </w:tc>
        <w:tc>
          <w:tcPr>
            <w:tcW w:type="dxa" w:w="2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Puerta a puerta</w:t>
            </w:r>
          </w:p>
        </w:tc>
        <w:tc>
          <w:tcPr>
            <w:tcW w:type="dxa" w:w="2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Solo terminal a terminal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Depende de terminales</w:t>
            </w:r>
          </w:p>
        </w:tc>
      </w:tr>
      <w:tr>
        <w:trPr>
          <w:cantSplit/>
          <w:trHeight w:val="400" w:hRule="atLeast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Ambiental</w:t>
            </w:r>
          </w:p>
        </w:tc>
        <w:tc>
          <w:tcPr>
            <w:tcW w:type="dxa" w:w="2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Mayor emisión por tonelada</w:t>
            </w:r>
          </w:p>
        </w:tc>
        <w:tc>
          <w:tcPr>
            <w:tcW w:type="dxa" w:w="2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Menor emisión por tonelada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Intermedio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 w:line="264"/>
      </w:pPr>
      <w:r>
        <w:t xml:space="preserve">No hay una única respuesta correcta: evalúa que el grupo </w:t>
      </w:r>
      <w:r>
        <w:rPr>
          <w:b/>
          <w:bCs/>
        </w:rPr>
        <w:t xml:space="preserve">justifique con la carga por eje y con el ancho de vía</w:t>
      </w:r>
      <w:r>
        <w:t xml:space="preserve"> y que identifique un riesgo (plazos de frontera, disponibilidad de vagones, fechas).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</w:rPr>
        <w:t xml:space="preserve">Vehículo alquilado:</w:t>
      </w:r>
      <w:r>
        <w:t xml:space="preserve"> vehículo articulado para granel (cisterna granelera, tolva o bañera con lona) apto para alimentos (limpieza y trazabilidad), MMA 40 t y carga útil ≈ 25 t; para 60 t hacen falta 3 vehículos. Conductor: permiso C+E, CAP y tarjeta de tacógrafo; cumplir tiempos de conducción y descanso. Si la empresa no tiene personal habilitado ni autorización de transporte, necesita </w:t>
      </w:r>
      <w:r>
        <w:rPr>
          <w:b/>
          <w:bCs/>
        </w:rPr>
        <w:t xml:space="preserve">conductor externo</w:t>
      </w:r>
      <w:r>
        <w:t xml:space="preserve"> o contratar la agencia.</w:t>
      </w:r>
    </w:p>
    <w:p>
      <w:pPr>
        <w:keepNext/>
        <w:spacing w:after="60" w:before="120"/>
      </w:pPr>
      <w:r>
        <w:rPr>
          <w:b/>
          <w:bCs/>
          <w:sz w:val="22"/>
          <w:szCs w:val="22"/>
        </w:rPr>
        <w:t xml:space="preserve">Ticket de salida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1: estructura con ruedas bajo el vagón que soporta el peso y permite circular por la vía. 2: 4 × 20 − 24 = 56 t. 3: cualquiera de las de la tabla 3.2 con su descripción.</w:t>
      </w:r>
    </w:p>
    <w:p>
      <w:pPr>
        <w:keepNext/>
        <w:pBdr>
          <w:left w:val="single" w:color="1A1A1A" w:sz="36" w:space="6"/>
        </w:pBdr>
        <w:shd w:fill="FFD24D" w:val="clear"/>
        <w:spacing w:after="100" w:before="200"/>
        <w:ind w:left="0"/>
      </w:pPr>
      <w:r>
        <w:rPr>
          <w:b/>
          <w:bCs/>
          <w:sz w:val="23"/>
          <w:szCs w:val="23"/>
        </w:rPr>
        <w:t xml:space="preserve">EVALUACIÓN (rúbrica rápida, sobre 10)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2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Criterio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D2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Qué miras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Comprensión de bogies y carga (3 p)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Tabla de tipos y cálculo de carga útil correctos.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Ancho de vía (2 p)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Explica el problema y relaciona soluciones.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Recomendación justificada (3 p)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Argumentos técnicos y riesgo identificado.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Ticket de salida (2 p)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Respuestas individuales correctas.</w:t>
            </w:r>
          </w:p>
        </w:tc>
      </w:tr>
    </w:tbl>
    <w:p>
      <w:pPr>
        <w:keepNext/>
        <w:pBdr>
          <w:left w:val="single" w:color="1A1A1A" w:sz="36" w:space="6"/>
        </w:pBdr>
        <w:shd w:fill="FFD24D" w:val="clear"/>
        <w:spacing w:after="100" w:before="200"/>
        <w:ind w:left="0"/>
      </w:pPr>
      <w:r>
        <w:rPr>
          <w:b/>
          <w:bCs/>
          <w:sz w:val="23"/>
          <w:szCs w:val="23"/>
        </w:rPr>
        <w:t xml:space="preserve">PUNTOS A REVISAR ANTES DE USARLA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No he podido abrir las </w:t>
      </w:r>
      <w:r>
        <w:rPr>
          <w:b/>
          <w:bCs/>
        </w:rPr>
        <w:t xml:space="preserve">8 fuentes enlazadas</w:t>
      </w:r>
      <w:r>
        <w:t xml:space="preserve"> desde este entorno: comprueba que siguen activas (los enlaces son los de la versión anterior).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La </w:t>
      </w:r>
      <w:r>
        <w:rPr>
          <w:b/>
          <w:bCs/>
        </w:rPr>
        <w:t xml:space="preserve">tara de 24 t</w:t>
      </w:r>
      <w:r>
        <w:t xml:space="preserve"> y la </w:t>
      </w:r>
      <w:r>
        <w:rPr>
          <w:b/>
          <w:bCs/>
        </w:rPr>
        <w:t xml:space="preserve">carga útil de 25 t por camión</w:t>
      </w:r>
      <w:r>
        <w:t xml:space="preserve"> son valores de referencia pensados para el ejercicio.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t xml:space="preserve">Actualidad que puedes comentar de palabra: Adif está adaptando tramos del Corredor Mediterráneo al ancho estándar (por ejemplo La Encina–Alicante, San Isidro–Murcia, entorno de Vila-seca/La Boella) y ya existen cambiadores de ancho. Búscalo antes para confirmar el estado a fecha de mañana.</w:t>
      </w: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GATL_2026_2027 · Guía docente Bogies · 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GATL_2026_2027 · Guía docente Bogies</dc:title>
  <dc:creator>GATL</dc:creator>
  <cp:lastModifiedBy>Un-named</cp:lastModifiedBy>
  <cp:revision>1</cp:revision>
  <dcterms:created xsi:type="dcterms:W3CDTF">2026-10-06T17:07:48.958Z</dcterms:created>
  <dcterms:modified xsi:type="dcterms:W3CDTF">2026-10-06T17:07:48.958Z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