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12304A"/>
          <w:sz w:val="44"/>
        </w:rPr>
        <w:t>Ghid scurt de integrare</w:t>
      </w:r>
    </w:p>
    <w:p>
      <w:pPr>
        <w:spacing w:after="260"/>
      </w:pPr>
      <w:r>
        <w:rPr>
          <w:rFonts w:ascii="Calibri" w:hAnsi="Calibri"/>
          <w:b/>
          <w:color w:val="0F766E"/>
          <w:sz w:val="24"/>
        </w:rPr>
        <w:t>Chestionare Emmanuel CliniX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EAF4F2"/>
          </w:tcPr>
          <w:p>
            <w:r>
              <w:rPr>
                <w:rFonts w:ascii="Calibri" w:hAnsi="Calibri"/>
                <w:b/>
                <w:color w:val="12304A"/>
                <w:sz w:val="20"/>
              </w:rPr>
              <w:t>Scop</w:t>
            </w:r>
          </w:p>
        </w:tc>
        <w:tc>
          <w:tcPr>
            <w:tcW w:type="dxa" w:w="75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EAF4F2"/>
          </w:tcPr>
          <w:p>
            <w:r>
              <w:rPr>
                <w:rFonts w:ascii="Calibri" w:hAnsi="Calibri"/>
                <w:b w:val="0"/>
                <w:color w:val="202124"/>
                <w:sz w:val="20"/>
              </w:rPr>
              <w:t>Adăugarea pachetului de chestionare pe site-ul WordPress, fără a pierde scorarea, rezultatul personalizat sau legătura cu landing page-urile.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/>
          <w:b/>
          <w:color w:val="0F766E"/>
          <w:sz w:val="26"/>
        </w:rPr>
        <w:t>1. Ce conține acest pachet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202124"/>
          <w:sz w:val="22"/>
        </w:rPr>
        <w:t>Sunt incluse cele 9 chestionare, pagina de alegere a chestionarului, calculele de scor și răspunsul personalizat, formularul de contact, validarea datelor, endpoint-ul pentru lead-uri și toate landing page-urile legate de rezultate. Designul și textele au fost păstrate.</w:t>
      </w:r>
    </w:p>
    <w:p>
      <w:pPr>
        <w:keepNext/>
        <w:spacing w:before="240" w:after="120"/>
      </w:pPr>
      <w:r>
        <w:rPr>
          <w:rFonts w:ascii="Calibri" w:hAnsi="Calibri"/>
          <w:b/>
          <w:color w:val="0F766E"/>
          <w:sz w:val="26"/>
        </w:rPr>
        <w:t>2. Ce trebuie pus pe site</w:t>
      </w:r>
    </w:p>
    <w:p>
      <w:pPr>
        <w:spacing w:before="0" w:after="60" w:line="276" w:lineRule="auto"/>
      </w:pPr>
      <w:r>
        <w:rPr>
          <w:rFonts w:ascii="Calibri" w:hAnsi="Calibri"/>
          <w:b/>
          <w:color w:val="12304A"/>
          <w:sz w:val="21"/>
        </w:rPr>
        <w:t xml:space="preserve">A. Intrarea principală: </w:t>
      </w:r>
      <w:r>
        <w:rPr>
          <w:rFonts w:ascii="Calibri" w:hAnsi="Calibri"/>
          <w:b w:val="0"/>
          <w:color w:val="202124"/>
          <w:sz w:val="21"/>
        </w:rPr>
        <w:t>pe homepage, cât mai sus, adaugă un buton sau o zonă care deschide /evaluare.</w:t>
      </w:r>
    </w:p>
    <w:p>
      <w:pPr>
        <w:spacing w:before="0" w:after="60" w:line="276" w:lineRule="auto"/>
      </w:pPr>
      <w:r>
        <w:rPr>
          <w:rFonts w:ascii="Calibri" w:hAnsi="Calibri"/>
          <w:b/>
          <w:color w:val="12304A"/>
          <w:sz w:val="21"/>
        </w:rPr>
        <w:t xml:space="preserve">B. Pagina /evaluare: </w:t>
      </w:r>
      <w:r>
        <w:rPr>
          <w:rFonts w:ascii="Calibri" w:hAnsi="Calibri"/>
          <w:b w:val="0"/>
          <w:color w:val="202124"/>
          <w:sz w:val="21"/>
        </w:rPr>
        <w:t>este selectorul. Vizitatorul alege problema principală, iar fiecare alegere îl trimite automat către chestionarul potrivit.</w:t>
      </w:r>
    </w:p>
    <w:p>
      <w:pPr>
        <w:spacing w:before="0" w:after="60" w:line="276" w:lineRule="auto"/>
      </w:pPr>
      <w:r>
        <w:rPr>
          <w:rFonts w:ascii="Calibri" w:hAnsi="Calibri"/>
          <w:b/>
          <w:color w:val="12304A"/>
          <w:sz w:val="21"/>
        </w:rPr>
        <w:t xml:space="preserve">C. Pagina /chestionare: </w:t>
      </w:r>
      <w:r>
        <w:rPr>
          <w:rFonts w:ascii="Calibri" w:hAnsi="Calibri"/>
          <w:b w:val="0"/>
          <w:color w:val="202124"/>
          <w:sz w:val="21"/>
        </w:rPr>
        <w:t>este hubul cu toate cele 9 chestionare; poate fi folosită și ca link de meniu „Chestionare”.</w:t>
      </w:r>
    </w:p>
    <w:p>
      <w:pPr>
        <w:keepNext/>
        <w:spacing w:before="240" w:after="120"/>
      </w:pPr>
      <w:r>
        <w:rPr>
          <w:rFonts w:ascii="Calibri" w:hAnsi="Calibri"/>
          <w:b/>
          <w:color w:val="0F766E"/>
          <w:sz w:val="26"/>
        </w:rPr>
        <w:t>3. Cum funcționează pentru vizitator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202124"/>
          <w:sz w:val="22"/>
        </w:rPr>
        <w:t>Homepage → /evaluare → chestionarul corespunzător → rezultat cu scor, interpretare și recomandări personalizate → buton către landing page-ul corespunzător. Înainte de rezultat, formularul solicită nume, telefon și email. Sunt respinse numerele evident false și adresele de test; verificarea nu trimite SMS sau email.</w:t>
      </w:r>
    </w:p>
    <w:p>
      <w:pPr>
        <w:keepNext/>
        <w:spacing w:before="240" w:after="120"/>
      </w:pPr>
      <w:r>
        <w:rPr>
          <w:rFonts w:ascii="Calibri" w:hAnsi="Calibri"/>
          <w:b/>
          <w:color w:val="0F766E"/>
          <w:sz w:val="26"/>
        </w:rPr>
        <w:t>4. Legăturile deja configurate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0"/>
        <w:gridCol w:w="5880"/>
      </w:tblGrid>
      <w:t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76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Chestionar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76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Landing page deschis după rezultat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Anxietate</w:t>
            </w:r>
          </w:p>
        </w:tc>
        <w:tc>
          <w:tcPr>
            <w:tcW w:type="dxa" w:w="58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/lp/anxietate</w:t>
            </w:r>
          </w:p>
        </w:tc>
      </w:tr>
      <w:tr>
        <w:tc>
          <w:tcPr>
            <w:tcW w:type="dxa" w:w="34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Atacuri de panică</w:t>
            </w:r>
          </w:p>
        </w:tc>
        <w:tc>
          <w:tcPr>
            <w:tcW w:type="dxa" w:w="58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/lp/panica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Somn</w:t>
            </w:r>
          </w:p>
        </w:tc>
        <w:tc>
          <w:tcPr>
            <w:tcW w:type="dxa" w:w="58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/lp/somn</w:t>
            </w:r>
          </w:p>
        </w:tc>
      </w:tr>
      <w:tr>
        <w:tc>
          <w:tcPr>
            <w:tcW w:type="dxa" w:w="34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Burnout</w:t>
            </w:r>
          </w:p>
        </w:tc>
        <w:tc>
          <w:tcPr>
            <w:tcW w:type="dxa" w:w="58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/lp/burnout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Focus / concentrare</w:t>
            </w:r>
          </w:p>
        </w:tc>
        <w:tc>
          <w:tcPr>
            <w:tcW w:type="dxa" w:w="58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/lp/focus</w:t>
            </w:r>
          </w:p>
        </w:tc>
      </w:tr>
      <w:tr>
        <w:tc>
          <w:tcPr>
            <w:tcW w:type="dxa" w:w="34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Dispoziție</w:t>
            </w:r>
          </w:p>
        </w:tc>
        <w:tc>
          <w:tcPr>
            <w:tcW w:type="dxa" w:w="58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/lp/dispozitie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Migrene</w:t>
            </w:r>
          </w:p>
        </w:tc>
        <w:tc>
          <w:tcPr>
            <w:tcW w:type="dxa" w:w="58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/lp/migrene</w:t>
            </w:r>
          </w:p>
        </w:tc>
      </w:tr>
      <w:tr>
        <w:tc>
          <w:tcPr>
            <w:tcW w:type="dxa" w:w="34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Stres</w:t>
            </w:r>
          </w:p>
        </w:tc>
        <w:tc>
          <w:tcPr>
            <w:tcW w:type="dxa" w:w="5880"/>
            <w:shd w:fill="F4F7F8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/lp/stres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Adicții</w:t>
            </w:r>
          </w:p>
        </w:tc>
        <w:tc>
          <w:tcPr>
            <w:tcW w:type="dxa" w:w="5880"/>
          </w:tcPr>
          <w:p>
            <w:r>
              <w:rPr>
                <w:rFonts w:ascii="Calibri" w:hAnsi="Calibri"/>
                <w:b w:val="0"/>
                <w:color w:val="202124"/>
                <w:sz w:val="19"/>
              </w:rPr>
              <w:t>/lp/adictii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/>
          <w:b/>
          <w:color w:val="0F766E"/>
          <w:sz w:val="26"/>
        </w:rPr>
        <w:t>5. Important pentru administrator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202124"/>
          <w:sz w:val="22"/>
        </w:rPr>
        <w:t>Acesta este un proiect Next.js separat, nu un plugin WordPress care se lipește în Theme File Editor. Varianta recomandată este publicarea lui pe un subdomeniu (de exemplu chestionare.emmanuel-clinix.ro), iar WordPress trimite către /evaluare sau /chestionare. Alternativ, hostingul poate configura reverse proxy pentru rutele din pachet.</w:t>
      </w:r>
    </w:p>
    <w:p>
      <w:pPr>
        <w:spacing w:before="0" w:after="0" w:line="300" w:lineRule="auto"/>
      </w:pPr>
      <w:r>
        <w:rPr>
          <w:rFonts w:ascii="Calibri" w:hAnsi="Calibri"/>
          <w:b w:val="0"/>
          <w:color w:val="202124"/>
          <w:sz w:val="22"/>
        </w:rPr>
        <w:t>Înainte de lansare: configurează GHL_WEBHOOK_URL pentru lead-uri și completează paginile Politica de confidențialitate și Termeni și condiții cu textele juridice aprobate. Pentru detalii tehnice, vezi INTEGRATION.md și ROUTES.md din arhivă.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color w:val="5B6670"/>
        <w:sz w:val="17"/>
      </w:rPr>
      <w:t>Pachet Chestionare — integrare WordPress / Next.js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670"/>
        <w:sz w:val="17"/>
      </w:rPr>
      <w:t>EMMANUEL CLINIX  |  GHID DE PREDARE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