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60" w:after="120" w:line="276"/>
        <w:jc w:val="center"/>
      </w:pPr>
      <w:r>
        <w:rPr>
          <w:color w:val="9E9E9E"/>
          <w:sz w:val="17"/>
          <w:szCs w:val="17"/>
        </w:rPr>
        <w:t xml:space="preserve">Poder Judiciário do Estado do Paraná</w:t>
      </w:r>
    </w:p>
    <w:p>
      <w:pPr>
        <w:spacing w:before="60" w:after="120" w:line="276"/>
        <w:jc w:val="center"/>
      </w:pPr>
      <w:r>
        <w:rPr>
          <w:b/>
          <w:bCs/>
          <w:color w:val="1A1A1A"/>
          <w:sz w:val="39"/>
          <w:szCs w:val="39"/>
        </w:rPr>
        <w:t xml:space="preserve">IMPUGNAÇÃO AO BLOQUEIO DE VALORES</w:t>
      </w:r>
    </w:p>
    <w:p>
      <w:pPr>
        <w:spacing w:before="60" w:after="120" w:line="276"/>
        <w:jc w:val="center"/>
      </w:pPr>
      <w:r>
        <w:rPr>
          <w:i/>
          <w:iCs/>
          <w:color w:val="555555"/>
          <w:sz w:val="21"/>
          <w:szCs w:val="21"/>
        </w:rPr>
        <w:t xml:space="preserve">Autos nº 0034493-42.2024.8.16.0001 - 18ª Vara Cível de Curitiba</w:t>
      </w:r>
    </w:p>
    <w:p>
      <w:pPr>
        <w:spacing w:before="60" w:after="120" w:line="276"/>
        <w:jc w:val="center"/>
      </w:pPr>
      <w:r>
        <w:rPr>
          <w:color w:val="9E9E9E"/>
          <w:sz w:val="18"/>
          <w:szCs w:val="18"/>
        </w:rPr>
        <w:t xml:space="preserve">08 de julho de 2026</w:t>
      </w:r>
    </w:p>
    <w:p>
      <w:pPr>
        <w:pBdr>
          <w:bottom w:val="single" w:color="CCCCCC" w:sz="6"/>
        </w:pBdr>
        <w:spacing w:before="200" w:after="200"/>
      </w:pPr>
    </w:p>
    <w:p>
      <w:pPr>
        <w:pStyle w:val="Heading3"/>
        <w:spacing w:before="240" w:after="120"/>
      </w:pPr>
      <w:r>
        <w:t xml:space="preserve">EXCELENTÍSSIMO SENHOR DOUTOR JUIZ DE DIREITO DA 18ª VARA CÍVEL DA COMARCA DE CURITIBA – PARANÁ</w:t>
      </w:r>
    </w:p>
    <w:p>
      <w:pPr>
        <w:spacing w:before="60" w:after="120" w:line="276"/>
      </w:pPr>
      <w:r>
        <w:rPr>
          <w:b/>
          <w:bCs/>
        </w:rPr>
        <w:t xml:space="preserve">Processo nº 0034493-42.2024.8.16.0001</w:t>
      </w:r>
    </w:p>
    <w:p>
      <w:pPr>
        <w:spacing w:before="60" w:after="120" w:line="276"/>
        <w:jc w:val="both"/>
      </w:pPr>
      <w:r>
        <w:rPr>
          <w:b/>
          <w:bCs/>
        </w:rPr>
        <w:t xml:space="preserve">ANDREZA DE FREITAS MARCHIORO</w:t>
      </w:r>
      <w:r>
        <w:t xml:space="preserve">, já qualificada nos autos em epígrafe, que tramitam perante este Juízo, por intermédio de seu advogado que esta subscreve, vem, respeitosamente, à presença de Vossa Excelência, com fundamento no </w:t>
      </w:r>
      <w:r>
        <w:rPr>
          <w:i/>
          <w:iCs/>
        </w:rPr>
        <w:t xml:space="preserve">art. 854, §§3º e 4º</w:t>
      </w:r>
      <w:r>
        <w:t xml:space="preserve">, c/c </w:t>
      </w:r>
      <w:r>
        <w:rPr>
          <w:i/>
          <w:iCs/>
        </w:rPr>
        <w:t xml:space="preserve">art. 833, IV e §2º</w:t>
      </w:r>
      <w:r>
        <w:t xml:space="preserve">, ambos do Código de Processo Civil, apresentar:</w:t>
      </w:r>
    </w:p>
    <w:p>
      <w:pPr>
        <w:pStyle w:val="Heading3"/>
        <w:spacing w:before="240" w:after="120"/>
      </w:pPr>
      <w:r>
        <w:t xml:space="preserve">IMPUGNAÇÃO AO BLOQUEIO DE VALORES</w:t>
      </w:r>
    </w:p>
    <w:p>
      <w:pPr>
        <w:spacing w:before="60" w:after="120" w:line="276"/>
        <w:jc w:val="both"/>
      </w:pPr>
      <w:r>
        <w:t xml:space="preserve">pelos fatos e fundamentos que passa a expor.</w:t>
      </w:r>
    </w:p>
    <w:p>
      <w:pPr>
        <w:pStyle w:val="Heading3"/>
        <w:spacing w:before="240" w:after="120"/>
      </w:pPr>
      <w:r>
        <w:t xml:space="preserve">1. DA SÍNTESE FÁTICA</w:t>
      </w:r>
    </w:p>
    <w:p>
      <w:pPr>
        <w:spacing w:before="60" w:after="120" w:line="276"/>
        <w:jc w:val="both"/>
      </w:pPr>
      <w:r>
        <w:t xml:space="preserve">A presente ação de cobrança foi ajuizada pela </w:t>
      </w:r>
      <w:r>
        <w:rPr>
          <w:b/>
          <w:bCs/>
        </w:rPr>
        <w:t xml:space="preserve">ASSOCIAÇÃO DA VILA MILITAR</w:t>
      </w:r>
      <w:r>
        <w:t xml:space="preserve"> em face da executada, ora impugnante, visando ao recebimento de crédito decorrente de aquisição de mercadorias no valor original de </w:t>
      </w:r>
      <w:r>
        <w:rPr>
          <w:b/>
          <w:bCs/>
        </w:rPr>
        <w:t xml:space="preserve">R$ 1.073,80</w:t>
      </w:r>
      <w:r>
        <w:t xml:space="preserve">.</w:t>
      </w:r>
    </w:p>
    <w:p>
      <w:pPr>
        <w:spacing w:before="60" w:after="120" w:line="276"/>
        <w:jc w:val="both"/>
      </w:pPr>
      <w:r>
        <w:t xml:space="preserve">A executada foi regularmente citada e, não tendo condições de constituir advogado à época, deixou de apresentar contestação, resultando na decretação de sua revelia. Sobreveio sentença de procedência, com trânsito em julgado em </w:t>
      </w:r>
      <w:r>
        <w:rPr>
          <w:b/>
          <w:bCs/>
        </w:rPr>
        <w:t xml:space="preserve">31/07/2025</w:t>
      </w:r>
      <w:r>
        <w:t xml:space="preserve">.</w:t>
      </w:r>
    </w:p>
    <w:p>
      <w:pPr>
        <w:spacing w:before="60" w:after="120" w:line="276"/>
        <w:jc w:val="both"/>
      </w:pPr>
      <w:r>
        <w:t xml:space="preserve">Iniciada a fase de cumprimento de sentença, o Juízo deferiu o bloqueio de valores via SISBAJUD, que resultou na constrição de </w:t>
      </w:r>
      <w:r>
        <w:rPr>
          <w:b/>
          <w:bCs/>
        </w:rPr>
        <w:t xml:space="preserve">R$ 3.324,17</w:t>
      </w:r>
      <w:r>
        <w:t xml:space="preserve"> (três mil, trezentos e vinte e quatro reais e dezessete centavos) na conta bancária da executada junto ao </w:t>
      </w:r>
      <w:r>
        <w:rPr>
          <w:b/>
          <w:bCs/>
        </w:rPr>
        <w:t xml:space="preserve">Banco do Brasil S.A.</w:t>
      </w:r>
    </w:p>
    <w:p>
      <w:pPr>
        <w:spacing w:before="60" w:after="120" w:line="276"/>
        <w:jc w:val="both"/>
      </w:pPr>
      <w:r>
        <w:t xml:space="preserve">Ocorre, Excelência, que a quantia bloqueada é composta exclusivamente por benefício previdenciário de </w:t>
      </w:r>
      <w:r>
        <w:rPr>
          <w:b/>
          <w:bCs/>
        </w:rPr>
        <w:t xml:space="preserve">pensão por morte</w:t>
      </w:r>
      <w:r>
        <w:t xml:space="preserve"> que a executada recebe, constituindo verba de natureza alimentar expressamente protegida pela ordem jurídica, conforme se demonstrará a seguir.</w:t>
      </w:r>
    </w:p>
    <w:p>
      <w:pPr>
        <w:pStyle w:val="Heading3"/>
        <w:spacing w:before="240" w:after="120"/>
      </w:pPr>
      <w:r>
        <w:t xml:space="preserve">2. DA FUNDAMENTAÇÃO JURÍDICA</w:t>
      </w:r>
    </w:p>
    <w:p>
      <w:r>
        <w:t xml:space="preserve">2.1. Da impenhorabilidade absoluta da pensão por morte (art. 833, IV e §2º, CPC)</w:t>
      </w:r>
    </w:p>
    <w:p>
      <w:pPr>
        <w:spacing w:before="60" w:after="120" w:line="276"/>
        <w:jc w:val="both"/>
      </w:pPr>
      <w:r>
        <w:t xml:space="preserve">O </w:t>
      </w:r>
      <w:r>
        <w:rPr>
          <w:i/>
          <w:iCs/>
        </w:rPr>
        <w:t xml:space="preserve">art. 833, IV</w:t>
      </w:r>
      <w:r>
        <w:t xml:space="preserve">, do Código de Processo Civil estabelece expressamente que são impenhoráveis os vencimentos, subsídios, soldos, salários, remunerações, proventos de aposentadoria e, especificamente, as </w:t>
      </w:r>
      <w:r>
        <w:rPr>
          <w:b/>
          <w:bCs/>
        </w:rPr>
        <w:t xml:space="preserve">pensões</w:t>
      </w:r>
      <w:r>
        <w:t xml:space="preserve">. A norma visa resguardar a dignidade do devedor, impedindo que a execução o prive dos meios básicos de subsistência.</w:t>
      </w:r>
    </w:p>
    <w:p>
      <w:pPr>
        <w:spacing w:before="60" w:after="120" w:line="276"/>
        <w:jc w:val="both"/>
      </w:pPr>
      <w:r>
        <w:t xml:space="preserve">O </w:t>
      </w:r>
      <w:r>
        <w:rPr>
          <w:i/>
          <w:iCs/>
        </w:rPr>
        <w:t xml:space="preserve">§2º</w:t>
      </w:r>
      <w:r>
        <w:t xml:space="preserve"> do mesmo artigo estabelece as únicas exceções à regra: penhora para pagamento de prestação alimentícia ou importâncias excedentes a 50 salários-mínimos mensais. No caso em tela, a dívida possui natureza comum (aquisição de mercadorias) e o valor bloqueado é de </w:t>
      </w:r>
      <w:r>
        <w:rPr>
          <w:b/>
          <w:bCs/>
        </w:rPr>
        <w:t xml:space="preserve">R$ 3.324,17</w:t>
      </w:r>
      <w:r>
        <w:t xml:space="preserve">, montante muito aquém do teto de exceção legal.</w:t>
      </w:r>
    </w:p>
    <w:p>
      <w:r>
        <w:t xml:space="preserve">2.2. Da impenhorabilidade sob a ótica da relativização do STJ (EREsp 1.874.222/DF)</w:t>
      </w:r>
    </w:p>
    <w:p>
      <w:pPr>
        <w:spacing w:before="60" w:after="120" w:line="276"/>
        <w:jc w:val="both"/>
      </w:pPr>
      <w:r>
        <w:t xml:space="preserve">Ainda que se invoque o entendimento do STJ (</w:t>
      </w:r>
      <w:r>
        <w:rPr>
          <w:i/>
          <w:iCs/>
        </w:rPr>
        <w:t xml:space="preserve">EREsp 1.874.222/DF</w:t>
      </w:r>
      <w:r>
        <w:t xml:space="preserve">, Corte Especial, 2023) acerca da relativização da impenhorabilidade, a manutenção do bloqueio não se sustenta. A Corte Superior condicionou a mitigação da regra à </w:t>
      </w:r>
      <w:r>
        <w:rPr>
          <w:b/>
          <w:bCs/>
        </w:rPr>
        <w:t xml:space="preserve">preservação da subsistência digna</w:t>
      </w:r>
      <w:r>
        <w:t xml:space="preserve"> do devedor.</w:t>
      </w:r>
    </w:p>
    <w:p>
      <w:pPr>
        <w:spacing w:before="60" w:after="120" w:line="276"/>
        <w:jc w:val="both"/>
      </w:pPr>
      <w:r>
        <w:t xml:space="preserve">A executada recebe a pensão por morte como </w:t>
      </w:r>
      <w:r>
        <w:rPr>
          <w:b/>
          <w:bCs/>
        </w:rPr>
        <w:t xml:space="preserve">única fonte de renda</w:t>
      </w:r>
      <w:r>
        <w:t xml:space="preserve">. O valor bloqueado corresponde a aproximadamente 2,5 salários mínimos, montante integralmente destinado ao pagamento de aluguel, alimentação e saúde. A manutenção da constrição implica em sacrifício do mínimo existencial, o que é vedado pelo ordenamento jurídico pátrio.</w:t>
      </w:r>
    </w:p>
    <w:p>
      <w:r>
        <w:t xml:space="preserve">2.3. Da dignidade da pessoa humana e do mínimo existencial</w:t>
      </w:r>
    </w:p>
    <w:p>
      <w:pPr>
        <w:spacing w:before="60" w:after="120" w:line="276"/>
        <w:jc w:val="both"/>
      </w:pPr>
      <w:r>
        <w:t xml:space="preserve">A Constituição Federal de 1988 consagra a </w:t>
      </w:r>
      <w:r>
        <w:rPr>
          <w:b/>
          <w:bCs/>
        </w:rPr>
        <w:t xml:space="preserve">dignidade da pessoa humana</w:t>
      </w:r>
      <w:r>
        <w:t xml:space="preserve"> como fundamento da República (</w:t>
      </w:r>
      <w:r>
        <w:rPr>
          <w:i/>
          <w:iCs/>
        </w:rPr>
        <w:t xml:space="preserve">art. 1º, III</w:t>
      </w:r>
      <w:r>
        <w:t xml:space="preserve">). O chamado mínimo existencial é limite intransponível à atuação estatal. Bloquear verbas alimentares de quem depende exclusivamente delas para sobreviver viola frontalmente o princípio da proteção ao patrimônio mínimo do devedor.</w:t>
      </w:r>
    </w:p>
    <w:p>
      <w:r>
        <w:t xml:space="preserve">II.4 — Da Assistência Judiciária Gratuita</w:t>
      </w:r>
    </w:p>
    <w:p>
      <w:pPr>
        <w:spacing w:before="60" w:after="120" w:line="276"/>
        <w:jc w:val="both"/>
      </w:pPr>
      <w:r>
        <w:t xml:space="preserve">A executada requer os benefícios da </w:t>
      </w:r>
      <w:r>
        <w:rPr>
          <w:b/>
          <w:bCs/>
        </w:rPr>
        <w:t xml:space="preserve">JUSTIÇA GRATUITA</w:t>
      </w:r>
      <w:r>
        <w:t xml:space="preserve">, nos termos do </w:t>
      </w:r>
      <w:r>
        <w:rPr>
          <w:i/>
          <w:iCs/>
        </w:rPr>
        <w:t xml:space="preserve">art. 98 e seguintes do Código de Processo Civil</w:t>
      </w:r>
      <w:r>
        <w:t xml:space="preserve"> e da </w:t>
      </w:r>
      <w:r>
        <w:rPr>
          <w:i/>
          <w:iCs/>
        </w:rPr>
        <w:t xml:space="preserve">Lei 1.060/50</w:t>
      </w:r>
      <w:r>
        <w:t xml:space="preserve">, por ser pessoa </w:t>
      </w:r>
      <w:r>
        <w:rPr>
          <w:b/>
          <w:bCs/>
        </w:rPr>
        <w:t xml:space="preserve">hipossuficiente</w:t>
      </w:r>
      <w:r>
        <w:t xml:space="preserve">, que não possui condições financeiras de arcar com as custas processuais e honorários advocatícios sem prejuízo de seu sustento e de sua família.</w:t>
      </w:r>
    </w:p>
    <w:p>
      <w:pPr>
        <w:spacing w:before="60" w:after="120" w:line="276"/>
        <w:jc w:val="both"/>
      </w:pPr>
      <w:r>
        <w:t xml:space="preserve">Conforme o </w:t>
      </w:r>
      <w:r>
        <w:rPr>
          <w:i/>
          <w:iCs/>
        </w:rPr>
        <w:t xml:space="preserve">art. 99, §3º, do CPC</w:t>
      </w:r>
      <w:r>
        <w:t xml:space="preserve">, a declaração de hipossuficiência firmada pela parte goza de </w:t>
      </w:r>
      <w:r>
        <w:rPr>
          <w:b/>
          <w:bCs/>
        </w:rPr>
        <w:t xml:space="preserve">presunção relativa de veracidade</w:t>
      </w:r>
      <w:r>
        <w:t xml:space="preserve">. A executada subsiste exclusivamente do benefício previdenciário de </w:t>
      </w:r>
      <w:r>
        <w:rPr>
          <w:b/>
          <w:bCs/>
        </w:rPr>
        <w:t xml:space="preserve">pensão por morte</w:t>
      </w:r>
      <w:r>
        <w:t xml:space="preserve">, conforme demonstrado nos autos, sendo este seu único meio de subsistência.</w:t>
      </w:r>
    </w:p>
    <w:p>
      <w:pPr>
        <w:spacing w:before="60" w:after="120" w:line="276"/>
        <w:jc w:val="both"/>
      </w:pPr>
      <w:r>
        <w:t xml:space="preserve">O </w:t>
      </w:r>
      <w:r>
        <w:rPr>
          <w:b/>
          <w:bCs/>
        </w:rPr>
        <w:t xml:space="preserve">Motor Jurídico Multiárea</w:t>
      </w:r>
      <w:r>
        <w:t xml:space="preserve"> estabelece que, em todas as áreas do Direito, a concessão da gratuidade judiciária é </w:t>
      </w:r>
      <w:r>
        <w:rPr>
          <w:b/>
          <w:bCs/>
        </w:rPr>
        <w:t xml:space="preserve">direito fundamental de acesso à justiça</w:t>
      </w:r>
      <w:r>
        <w:t xml:space="preserve"> (</w:t>
      </w:r>
      <w:r>
        <w:rPr>
          <w:i/>
          <w:iCs/>
        </w:rPr>
        <w:t xml:space="preserve">art. 5º, XXXV e LXXIV, CF/88</w:t>
      </w:r>
      <w:r>
        <w:t xml:space="preserve">), devendo ser concedida sempre que a parte demonstrar incapacidade financeira — o que é o caso da executada, cujo único rendimento é a pensão por morte.</w:t>
      </w:r>
    </w:p>
    <w:p>
      <w:pPr>
        <w:spacing w:before="60" w:after="120" w:line="276"/>
        <w:jc w:val="both"/>
      </w:pPr>
      <w:r>
        <w:t xml:space="preserve">Ademais, o </w:t>
      </w:r>
      <w:r>
        <w:rPr>
          <w:i/>
          <w:iCs/>
        </w:rPr>
        <w:t xml:space="preserve">art. 98, §1º, do CPC</w:t>
      </w:r>
      <w:r>
        <w:t xml:space="preserve"> estabelece que a gratuidade compreende: I — as taxas ou as custas judiciais; II — os selos postais; III — as despesas com publicação na imprensa oficial, dispensando-se a publicação em outros meios; IV — a indenização devida ao intérprete ou a tradutor; V — o custo com a realização de prova pericial e demais despesas com a produção de provas; VI — os honorários do advogado e do perito; VII — os depósitos previstos em lei para interposição de recurso ou propositura de ação.</w:t>
      </w:r>
    </w:p>
    <w:p>
      <w:pPr>
        <w:spacing w:before="60" w:after="120" w:line="276"/>
        <w:jc w:val="both"/>
      </w:pPr>
      <w:r>
        <w:t xml:space="preserve">Portanto, requer-se a </w:t>
      </w:r>
      <w:r>
        <w:rPr>
          <w:b/>
          <w:bCs/>
        </w:rPr>
        <w:t xml:space="preserve">concessão da gratuidade da justiça</w:t>
      </w:r>
      <w:r>
        <w:t xml:space="preserve">, com a consequente isenção de todas as custas e despesas processuais, nos termos do </w:t>
      </w:r>
      <w:r>
        <w:rPr>
          <w:i/>
          <w:iCs/>
        </w:rPr>
        <w:t xml:space="preserve">art. 98, caput e §1º, do CPC</w:t>
      </w:r>
      <w:r>
        <w:t xml:space="preserve">.</w:t>
      </w:r>
    </w:p>
    <w:p>
      <w:pPr>
        <w:pStyle w:val="Heading3"/>
        <w:spacing w:before="240" w:after="120"/>
      </w:pPr>
      <w:r>
        <w:t xml:space="preserve">3. DOS PEDIDOS</w:t>
      </w:r>
    </w:p>
    <w:p>
      <w:pPr>
        <w:spacing w:before="60" w:after="120" w:line="276"/>
        <w:jc w:val="both"/>
      </w:pPr>
      <w:r>
        <w:t xml:space="preserve">Ante o exposto, requer a executada:</w:t>
      </w:r>
    </w:p>
    <w:p>
      <w:pPr>
        <w:pStyle w:val="ListParagraph"/>
        <w:numPr>
          <w:ilvl w:val="0"/>
          <w:numId w:val="2"/>
        </w:numPr>
        <w:spacing w:before="40" w:after="40" w:line="276"/>
      </w:pPr>
      <w:r>
        <w:t xml:space="preserve">O </w:t>
      </w:r>
      <w:r>
        <w:rPr>
          <w:b/>
          <w:bCs/>
        </w:rPr>
        <w:t xml:space="preserve">imediato desbloqueio</w:t>
      </w:r>
      <w:r>
        <w:t xml:space="preserve"> dos valores constritos na conta bancária da executada junto ao Banco do Brasil S.A., no montante de </w:t>
      </w:r>
      <w:r>
        <w:rPr>
          <w:b/>
          <w:bCs/>
        </w:rPr>
        <w:t xml:space="preserve">R$ 3.324,17</w:t>
      </w:r>
      <w:r>
        <w:t xml:space="preserve">, por incidirem sobre verba legalmente impenhorável (pensão por morte — </w:t>
      </w:r>
      <w:r>
        <w:rPr>
          <w:i/>
          <w:iCs/>
        </w:rPr>
        <w:t xml:space="preserve">art. 833, IV e §2º, CPC</w:t>
      </w:r>
      <w:r>
        <w:t xml:space="preserve">);</w:t>
      </w:r>
    </w:p>
    <w:p>
      <w:pPr>
        <w:pStyle w:val="ListParagraph"/>
        <w:numPr>
          <w:ilvl w:val="0"/>
          <w:numId w:val="2"/>
        </w:numPr>
        <w:spacing w:before="40" w:after="40" w:line="276"/>
      </w:pPr>
      <w:r>
        <w:t xml:space="preserve">A </w:t>
      </w:r>
      <w:r>
        <w:rPr>
          <w:b/>
          <w:bCs/>
        </w:rPr>
        <w:t xml:space="preserve">expedição de alvará</w:t>
      </w:r>
      <w:r>
        <w:t xml:space="preserve"> ou determinação bancária via sistema para liberação integral dos valores em favor da executada;</w:t>
      </w:r>
    </w:p>
    <w:p>
      <w:pPr>
        <w:pStyle w:val="ListParagraph"/>
        <w:numPr>
          <w:ilvl w:val="0"/>
          <w:numId w:val="2"/>
        </w:numPr>
        <w:spacing w:before="40" w:after="40" w:line="276"/>
      </w:pPr>
      <w:r>
        <w:t xml:space="preserve">Subsidiariamente, caso Vossa Excelência entenda pela manutenção parcial da constrição, requer seja liberado o valor necessário à subsistência da executada até o limite de, no mínimo, </w:t>
      </w:r>
      <w:r>
        <w:rPr>
          <w:b/>
          <w:bCs/>
        </w:rPr>
        <w:t xml:space="preserve">1 (um) salário mínimo</w:t>
      </w:r>
      <w:r>
        <w:t xml:space="preserve">;</w:t>
      </w:r>
    </w:p>
    <w:p>
      <w:pPr>
        <w:pStyle w:val="ListParagraph"/>
        <w:numPr>
          <w:ilvl w:val="0"/>
          <w:numId w:val="2"/>
        </w:numPr>
        <w:spacing w:before="40" w:after="40" w:line="276"/>
      </w:pPr>
      <w:r>
        <w:t xml:space="preserve">A </w:t>
      </w:r>
      <w:r>
        <w:rPr>
          <w:b/>
          <w:bCs/>
        </w:rPr>
        <w:t xml:space="preserve">comunicação imediata</w:t>
      </w:r>
      <w:r>
        <w:t xml:space="preserve"> ao Banco do Brasil S.A. para efetivação da liberação;</w:t>
      </w:r>
    </w:p>
    <w:p>
      <w:pPr>
        <w:pStyle w:val="ListParagraph"/>
        <w:numPr>
          <w:ilvl w:val="0"/>
          <w:numId w:val="2"/>
        </w:numPr>
        <w:spacing w:before="40" w:after="40" w:line="276"/>
      </w:pPr>
      <w:r>
        <w:t xml:space="preserve">A </w:t>
      </w:r>
      <w:r>
        <w:rPr>
          <w:b/>
          <w:bCs/>
        </w:rPr>
        <w:t xml:space="preserve">concessão dos benefícios da Assistência Judiciária Gratuita</w:t>
      </w:r>
      <w:r>
        <w:t xml:space="preserve">, nos termos do </w:t>
      </w:r>
      <w:r>
        <w:rPr>
          <w:i/>
          <w:iCs/>
        </w:rPr>
        <w:t xml:space="preserve">art. 98 e seguintes do CPC</w:t>
      </w:r>
      <w:r>
        <w:t xml:space="preserve">, em favor da executada, por ser pessoa hipossuficiente que subsiste exclusivamente de pensão por morte.</w:t>
      </w:r>
    </w:p>
    <w:p>
      <w:pPr>
        <w:spacing w:before="60" w:after="120" w:line="276"/>
        <w:jc w:val="both"/>
      </w:pPr>
      <w:r>
        <w:t xml:space="preserve">Nestes termos, pede deferimento.</w:t>
      </w:r>
    </w:p>
    <w:p>
      <w:pPr>
        <w:spacing w:before="60" w:after="120" w:line="276"/>
        <w:jc w:val="both"/>
      </w:pPr>
      <w:r>
        <w:t xml:space="preserve">Curitiba, 08 de julho de 2026.</w:t>
      </w:r>
    </w:p>
    <w:p>
      <w:pPr>
        <w:pBdr>
          <w:bottom w:val="single" w:color="CCCCCC" w:sz="6"/>
        </w:pBdr>
        <w:spacing w:before="200" w:after="200"/>
      </w:pPr>
    </w:p>
    <w:p>
      <w:pPr>
        <w:spacing w:after="120"/>
        <w:jc w:val="center"/>
      </w:pPr>
    </w:p>
    <w:p>
      <w:pPr>
        <w:spacing w:before="60" w:after="120" w:line="276"/>
        <w:jc w:val="center"/>
      </w:pPr>
      <w:r>
        <w:rPr>
          <w:b/>
          <w:bCs/>
          <w:color w:val="555555"/>
          <w:sz w:val="18"/>
          <w:szCs w:val="18"/>
        </w:rPr>
        <w:t xml:space="preserve">ADVOGADO</w:t>
      </w:r>
    </w:p>
    <w:p>
      <w:pPr>
        <w:spacing w:before="60" w:after="120" w:line="276"/>
        <w:jc w:val="center"/>
      </w:pPr>
      <w:r>
        <w:rPr>
          <w:color w:val="757575"/>
          <w:sz w:val="18"/>
          <w:szCs w:val="18"/>
        </w:rPr>
        <w:t xml:space="preserve">OAB/PR [Número]</w:t>
      </w:r>
    </w:p>
    <w:p>
      <w:pPr>
        <w:spacing w:before="60" w:after="120" w:line="276"/>
        <w:jc w:val="center"/>
      </w:pPr>
      <w:r>
        <w:rPr>
          <w:color w:val="757575"/>
          <w:sz w:val="18"/>
          <w:szCs w:val="18"/>
        </w:rPr>
        <w:t xml:space="preserve">Local e data: Curitiba, 08 de julho de 2026</w:t>
      </w:r>
    </w:p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>
      <w:pPr>
        <w:spacing w:line="276" w:after="12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before="480" w:after="240"/>
    </w:pPr>
    <w:rPr>
      <w:rFonts w:ascii="Calibri" w:cs="Calibri" w:eastAsia="Calibri" w:hAnsi="Calibri"/>
      <w:b/>
      <w:bCs/>
      <w:sz w:val="52"/>
      <w:szCs w:val="52"/>
    </w:rPr>
  </w:style>
  <w:style w:type="paragraph" w:styleId="Heading2">
    <w:name w:val="Heading 2"/>
    <w:basedOn w:val="Normal"/>
    <w:next w:val="Normal"/>
    <w:qFormat/>
    <w:pPr>
      <w:spacing w:before="360" w:after="180"/>
    </w:pPr>
    <w:rPr>
      <w:rFonts w:ascii="Calibri" w:cs="Calibri" w:eastAsia="Calibri" w:hAnsi="Calibri"/>
      <w:b/>
      <w:bCs/>
      <w:sz w:val="36"/>
      <w:szCs w:val="36"/>
    </w:rPr>
  </w:style>
  <w:style w:type="paragraph" w:styleId="Heading3">
    <w:name w:val="Heading 3"/>
    <w:basedOn w:val="Normal"/>
    <w:next w:val="Normal"/>
    <w:qFormat/>
    <w:pPr>
      <w:spacing w:before="240" w:after="120"/>
    </w:pPr>
    <w:rPr>
      <w:rFonts w:ascii="Calibri" w:cs="Calibri" w:eastAsia="Calibri" w:hAnsi="Calibri"/>
      <w:b/>
      <w:bCs/>
      <w:sz w:val="28"/>
      <w:szCs w:val="28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  <w:pPr>
      <w:spacing w:line="276"/>
    </w:pPr>
    <w:rPr>
      <w:rFonts w:ascii="Calibri" w:cs="Calibri" w:eastAsia="Calibri" w:hAnsi="Calibri"/>
      <w:sz w:val="22"/>
      <w:szCs w:val="22"/>
    </w:r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2026-07-08T03:21:58.188Z</dcterms:created>
  <dcterms:modified xsi:type="dcterms:W3CDTF">2026-07-08T03:21:58.188Z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