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PROGRAMA DE ASIGNATURA </w:t>
      </w: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s-ES_tradnl"/>
        </w:rPr>
        <w:t>1. Identificaci</w:t>
      </w:r>
      <w:r>
        <w:rPr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b w:val="1"/>
          <w:bCs w:val="1"/>
          <w:sz w:val="20"/>
          <w:szCs w:val="20"/>
          <w:rtl w:val="0"/>
          <w:lang w:val="es-ES_tradnl"/>
        </w:rPr>
        <w:t xml:space="preserve">n de la asignatura </w:t>
      </w:r>
    </w:p>
    <w:tbl>
      <w:tblPr>
        <w:tblW w:w="8931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7"/>
        <w:gridCol w:w="2180"/>
        <w:gridCol w:w="2548"/>
        <w:gridCol w:w="2076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3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Asignatura: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Cosmolog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a observacional</w:t>
            </w:r>
          </w:p>
        </w:tc>
        <w:tc>
          <w:tcPr>
            <w:tcW w:type="dxa" w:w="4624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Cr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ditos SCT-Chile: 7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3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Unidad acad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mica: Departamento de F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sica</w:t>
            </w:r>
          </w:p>
        </w:tc>
        <w:tc>
          <w:tcPr>
            <w:tcW w:type="dxa" w:w="4624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Sigla USM: 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Sigla PUCV: </w:t>
            </w:r>
            <w:r>
              <w:rPr>
                <w:b w:val="1"/>
                <w:bCs w:val="1"/>
                <w:sz w:val="20"/>
                <w:szCs w:val="20"/>
              </w:rPr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b w:val="1"/>
                <w:bCs w:val="1"/>
                <w:sz w:val="20"/>
                <w:szCs w:val="20"/>
                <w:shd w:val="clear" w:color="auto" w:fill="00ffff"/>
                <w:rtl w:val="0"/>
                <w:lang w:val="es-ES_tradnl"/>
              </w:rPr>
              <w:t>Pre-requisitos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:</w:t>
            </w:r>
          </w:p>
        </w:tc>
        <w:tc>
          <w:tcPr>
            <w:tcW w:type="dxa" w:w="254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b w:val="1"/>
                <w:bCs w:val="1"/>
                <w:outline w:val="0"/>
                <w:color w:val="000000"/>
                <w:sz w:val="20"/>
                <w:szCs w:val="20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Horas de docencia directa semanal: 3</w:t>
            </w:r>
            <w:r>
              <w:rPr>
                <w:outline w:val="0"/>
                <w:color w:val="ff0000"/>
                <w:u w:color="ff0000"/>
                <w14:textFill>
                  <w14:solidFill>
                    <w14:srgbClr w14:val="FF0000"/>
                  </w14:solidFill>
                </w14:textFill>
              </w:rPr>
            </w:r>
          </w:p>
        </w:tc>
        <w:tc>
          <w:tcPr>
            <w:tcW w:type="dxa" w:w="2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Horas C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tedra: 4</w:t>
            </w:r>
            <w:r>
              <w:rPr>
                <w:b w:val="1"/>
                <w:bCs w:val="1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3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trike w:val="0"/>
                <w:dstrike w:val="0"/>
                <w:sz w:val="20"/>
                <w:szCs w:val="20"/>
                <w:shd w:val="clear" w:color="auto" w:fill="ffff00"/>
                <w:rtl w:val="0"/>
                <w:lang w:val="es-ES_tradnl"/>
              </w:rPr>
              <w:t>Examen</w:t>
            </w:r>
          </w:p>
        </w:tc>
        <w:tc>
          <w:tcPr>
            <w:tcW w:type="dxa" w:w="25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Horas Otras: 0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b w:val="1"/>
                <w:bCs w:val="1"/>
                <w:strike w:val="0"/>
                <w:dstrike w:val="0"/>
                <w:sz w:val="20"/>
                <w:szCs w:val="20"/>
                <w:shd w:val="clear" w:color="auto" w:fill="ffff00"/>
                <w:rtl w:val="0"/>
                <w:lang w:val="es-ES_tradnl"/>
              </w:rPr>
              <w:t>Si: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b w:val="1"/>
                <w:bCs w:val="1"/>
                <w:strike w:val="0"/>
                <w:dstrike w:val="0"/>
                <w:sz w:val="20"/>
                <w:szCs w:val="20"/>
                <w:shd w:val="clear" w:color="auto" w:fill="ffff00"/>
                <w:rtl w:val="0"/>
                <w:lang w:val="es-ES_tradnl"/>
              </w:rPr>
              <w:t>No: X</w:t>
            </w:r>
          </w:p>
        </w:tc>
        <w:tc>
          <w:tcPr>
            <w:tcW w:type="dxa" w:w="25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4307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Horas de dedicaci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</w:t>
            </w:r>
          </w:p>
        </w:tc>
        <w:tc>
          <w:tcPr>
            <w:tcW w:type="dxa" w:w="46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Horas de Trabajo aut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nomo semanal: 9</w:t>
            </w:r>
            <w:r>
              <w:rPr>
                <w:b w:val="1"/>
                <w:bCs w:val="1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4307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Tiempo total de dedicaci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 cronol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gica: 210</w:t>
            </w:r>
            <w:r>
              <w:rPr>
                <w:b w:val="1"/>
                <w:bCs w:val="1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893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rea de Conocimiento </w:t>
            </w: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(OCDE)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: Ciencias Naturales</w:t>
            </w:r>
          </w:p>
        </w:tc>
      </w:tr>
    </w:tbl>
    <w:p>
      <w:pPr>
        <w:pStyle w:val="Body"/>
        <w:widowControl w:val="0"/>
        <w:spacing w:after="0" w:line="240" w:lineRule="auto"/>
        <w:ind w:left="2" w:hanging="2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s-ES_tradnl"/>
        </w:rPr>
        <w:t>2. Descripci</w:t>
      </w:r>
      <w:r>
        <w:rPr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b w:val="1"/>
          <w:bCs w:val="1"/>
          <w:sz w:val="20"/>
          <w:szCs w:val="20"/>
          <w:rtl w:val="0"/>
          <w:lang w:val="es-ES_tradnl"/>
        </w:rPr>
        <w:t>n de la asignatura</w:t>
      </w:r>
    </w:p>
    <w:tbl>
      <w:tblPr>
        <w:tblW w:w="8959" w:type="dxa"/>
        <w:jc w:val="left"/>
        <w:tblInd w:w="10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59"/>
      </w:tblGrid>
      <w:tr>
        <w:tblPrEx>
          <w:shd w:val="clear" w:color="auto" w:fill="ced7e7"/>
        </w:tblPrEx>
        <w:trPr>
          <w:trHeight w:val="2662" w:hRule="atLeast"/>
        </w:trPr>
        <w:tc>
          <w:tcPr>
            <w:tcW w:type="dxa" w:w="8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Este curso aprovecha las bases f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sicas de la cosmolog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a que el estudiante habr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aprendido en un curso de nivel de pregrado para explorar las 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cnicas observacionales usadas en cosmolog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a moderna, incluyendo aqu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llas usadas para la escala de distancias cosmol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 xml:space="preserve">gicas, estructura a gran escala (LSS), 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poca de reionizaci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n, y el fondo c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smico de microondas (CMB). Los/as estudiantes se familiarizar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n con las 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 xml:space="preserve">cnicas observacionales 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 xml:space="preserve">ptimas para cada una de estas 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reas, as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 xml:space="preserve">í 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como los experimentos que se han llevado a cabo. A trav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s de trabajos pr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cticos aprender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n a analizar algunos de los datos que est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n disponibles p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blicamente con fines cosmol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gicos, incluyendo experimentos como el sat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lite Planck (CMB) y el Sloan Digital Sky Survey (LSS).</w:t>
            </w:r>
          </w:p>
        </w:tc>
      </w:tr>
    </w:tbl>
    <w:p>
      <w:pPr>
        <w:pStyle w:val="Body"/>
        <w:widowControl w:val="0"/>
        <w:spacing w:after="0" w:line="240" w:lineRule="auto"/>
        <w:ind w:left="896" w:hanging="896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s-ES_tradnl"/>
        </w:rPr>
        <w:t>3. Requisitos de entrada / Aprendizajes previos *</w:t>
      </w:r>
    </w:p>
    <w:p>
      <w:pPr>
        <w:pStyle w:val="Body"/>
        <w:shd w:val="clear" w:color="auto" w:fill="ffffff"/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es-ES_tradnl"/>
        </w:rPr>
        <w:t>*Para estudiantes en articulaci</w:t>
      </w:r>
      <w:r>
        <w:rPr>
          <w:sz w:val="16"/>
          <w:szCs w:val="16"/>
          <w:rtl w:val="0"/>
          <w:lang w:val="es-ES_tradnl"/>
        </w:rPr>
        <w:t>ó</w:t>
      </w:r>
      <w:r>
        <w:rPr>
          <w:sz w:val="16"/>
          <w:szCs w:val="16"/>
          <w:rtl w:val="0"/>
          <w:lang w:val="es-ES_tradnl"/>
        </w:rPr>
        <w:t>n se entender</w:t>
      </w:r>
      <w:r>
        <w:rPr>
          <w:sz w:val="16"/>
          <w:szCs w:val="16"/>
          <w:rtl w:val="0"/>
        </w:rPr>
        <w:t xml:space="preserve">á </w:t>
      </w:r>
      <w:r>
        <w:rPr>
          <w:sz w:val="16"/>
          <w:szCs w:val="16"/>
          <w:rtl w:val="0"/>
          <w:lang w:val="es-ES_tradnl"/>
        </w:rPr>
        <w:t>que cumplen estos requisitos de entrada si tienen los prerrequisitos aprobados.</w:t>
      </w:r>
    </w:p>
    <w:tbl>
      <w:tblPr>
        <w:tblW w:w="8959" w:type="dxa"/>
        <w:jc w:val="left"/>
        <w:tblInd w:w="10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59"/>
      </w:tblGrid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8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Se espera que los/as estudiantes tengan un dominio de aspectos b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sicos de cosmolog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a y la evoluci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n del Universo, aprendidos en un curso de pregradoo superior, adem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s de conocimientos b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sicos sobre astrof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sica extragal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ctica e instrumentaci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n astron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mica. Tambi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n se requiere un cierto dominio de 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cnicas b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sicas de manipulaci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n de datos a trav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s de un lenguaje de programaci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n, y conocimientos b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sicos sobre estad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Fonts w:ascii="Calibri" w:hAnsi="Calibri"/>
                <w:sz w:val="20"/>
                <w:szCs w:val="20"/>
                <w:rtl w:val="0"/>
                <w:lang w:val="es-ES_tradnl"/>
              </w:rPr>
              <w:t>stica.</w:t>
            </w:r>
          </w:p>
        </w:tc>
      </w:tr>
    </w:tbl>
    <w:p>
      <w:pPr>
        <w:pStyle w:val="Body"/>
        <w:widowControl w:val="0"/>
        <w:shd w:val="clear" w:color="auto" w:fill="ffffff"/>
        <w:spacing w:after="0" w:line="240" w:lineRule="auto"/>
        <w:ind w:left="896" w:hanging="896"/>
        <w:rPr>
          <w:sz w:val="16"/>
          <w:szCs w:val="16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s-ES_tradnl"/>
        </w:rPr>
        <w:t>4. Competencias del Perfil del Graduado a las que contribuye</w:t>
      </w:r>
    </w:p>
    <w:tbl>
      <w:tblPr>
        <w:tblW w:w="8959" w:type="dxa"/>
        <w:jc w:val="left"/>
        <w:tblInd w:w="10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59"/>
      </w:tblGrid>
      <w:tr>
        <w:tblPrEx>
          <w:shd w:val="clear" w:color="auto" w:fill="ced7e7"/>
        </w:tblPrEx>
        <w:trPr>
          <w:trHeight w:val="4157" w:hRule="atLeast"/>
        </w:trPr>
        <w:tc>
          <w:tcPr>
            <w:tcW w:type="dxa" w:w="8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ind w:left="201" w:hanging="201"/>
              <w:jc w:val="both"/>
              <w:rPr>
                <w:b w:val="1"/>
                <w:bCs w:val="1"/>
                <w:sz w:val="20"/>
                <w:szCs w:val="20"/>
                <w:u w:val="single"/>
              </w:rPr>
            </w:pPr>
            <w:r>
              <w:rPr>
                <w:b w:val="1"/>
                <w:bCs w:val="1"/>
                <w:sz w:val="20"/>
                <w:szCs w:val="20"/>
                <w:u w:val="single"/>
                <w:rtl w:val="0"/>
                <w:lang w:val="es-ES_tradnl"/>
              </w:rPr>
              <w:t>Competencias Gen</w:t>
            </w:r>
            <w:r>
              <w:rPr>
                <w:b w:val="1"/>
                <w:bCs w:val="1"/>
                <w:sz w:val="20"/>
                <w:szCs w:val="20"/>
                <w:u w:val="single"/>
                <w:rtl w:val="0"/>
                <w:lang w:val="es-ES_tradnl"/>
              </w:rPr>
              <w:t>é</w:t>
            </w:r>
            <w:r>
              <w:rPr>
                <w:b w:val="1"/>
                <w:bCs w:val="1"/>
                <w:sz w:val="20"/>
                <w:szCs w:val="20"/>
                <w:u w:val="single"/>
                <w:rtl w:val="0"/>
                <w:lang w:val="es-ES_tradnl"/>
              </w:rPr>
              <w:t>ricas: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after="0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Actuar con altos est</w:t>
            </w:r>
            <w:r>
              <w:rPr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sz w:val="20"/>
                <w:szCs w:val="20"/>
                <w:rtl w:val="0"/>
                <w:lang w:val="es-ES_tradnl"/>
              </w:rPr>
              <w:t xml:space="preserve">ndares de responsabilidad profesional, social y </w:t>
            </w:r>
            <w:r>
              <w:rPr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sz w:val="20"/>
                <w:szCs w:val="20"/>
                <w:rtl w:val="0"/>
                <w:lang w:val="es-ES_tradnl"/>
              </w:rPr>
              <w:t>tica en el ejercicio de las actividades de investigaci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 para beneficio de la sociedad y del medio ambiente.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after="0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Realizar investigaci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 original y de excelencia de manera aut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noma, en el contexto de las ciencias f</w:t>
            </w:r>
            <w:r>
              <w:rPr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sz w:val="20"/>
                <w:szCs w:val="20"/>
                <w:rtl w:val="0"/>
                <w:lang w:val="es-ES_tradnl"/>
              </w:rPr>
              <w:t xml:space="preserve">sicas y sus </w:t>
            </w:r>
            <w:r>
              <w:rPr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sz w:val="20"/>
                <w:szCs w:val="20"/>
                <w:rtl w:val="0"/>
                <w:lang w:val="es-ES_tradnl"/>
              </w:rPr>
              <w:t>reas afines, para la creaci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 de nuevo conocimiento.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after="0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Conformar de manera proactiva equipos de trabajo en el contexto de proyectos originales de las ciencias f</w:t>
            </w:r>
            <w:r>
              <w:rPr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sz w:val="20"/>
                <w:szCs w:val="20"/>
                <w:rtl w:val="0"/>
                <w:lang w:val="es-ES_tradnl"/>
              </w:rPr>
              <w:t>sicas para la ejecuci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 de actividades tanto disciplinares como multidisciplinares.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after="0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Comunicar de manera efectiva en forma oral y escrita a p</w:t>
            </w:r>
            <w:r>
              <w:rPr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sz w:val="20"/>
                <w:szCs w:val="20"/>
                <w:rtl w:val="0"/>
                <w:lang w:val="es-ES_tradnl"/>
              </w:rPr>
              <w:t>blicos especializados y no especializados, para difundir los resultados de su investigaci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 o conocimiento en ciencias f</w:t>
            </w:r>
            <w:r>
              <w:rPr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sz w:val="20"/>
                <w:szCs w:val="20"/>
                <w:rtl w:val="0"/>
                <w:lang w:val="es-ES_tradnl"/>
              </w:rPr>
              <w:t>sicas.</w:t>
            </w:r>
          </w:p>
          <w:p>
            <w:pPr>
              <w:pStyle w:val="Body"/>
              <w:tabs>
                <w:tab w:val="left" w:pos="484"/>
              </w:tabs>
              <w:spacing w:after="0"/>
              <w:ind w:left="201" w:hanging="142"/>
              <w:jc w:val="both"/>
              <w:rPr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spacing w:after="0"/>
              <w:ind w:left="201" w:right="0" w:hanging="59"/>
              <w:jc w:val="both"/>
              <w:rPr>
                <w:b w:val="1"/>
                <w:bCs w:val="1"/>
                <w:sz w:val="20"/>
                <w:szCs w:val="20"/>
                <w:u w:val="single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u w:val="single"/>
                <w:rtl w:val="0"/>
                <w:lang w:val="es-ES_tradnl"/>
              </w:rPr>
              <w:t>Competencias Espec</w:t>
            </w:r>
            <w:r>
              <w:rPr>
                <w:b w:val="1"/>
                <w:bCs w:val="1"/>
                <w:sz w:val="20"/>
                <w:szCs w:val="20"/>
                <w:u w:val="single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sz w:val="20"/>
                <w:szCs w:val="20"/>
                <w:u w:val="single"/>
                <w:rtl w:val="0"/>
                <w:lang w:val="es-ES_tradnl"/>
              </w:rPr>
              <w:t>ficas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160"/>
              <w:ind w:right="0"/>
              <w:jc w:val="both"/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</w:pPr>
            <w:r>
              <w:rPr>
                <w:b w:val="0"/>
                <w:bCs w:val="0"/>
                <w:sz w:val="20"/>
                <w:szCs w:val="20"/>
                <w:rtl w:val="0"/>
                <w:lang w:val="es-ES_tradnl"/>
              </w:rPr>
              <w:t xml:space="preserve">Integrar conocimientos avanzados de </w:t>
            </w: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>astrof</w:t>
            </w: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>sica y cosmolog</w:t>
            </w: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>a observacional</w:t>
            </w:r>
            <w:r>
              <w:rPr>
                <w:b w:val="0"/>
                <w:bCs w:val="0"/>
                <w:sz w:val="20"/>
                <w:szCs w:val="20"/>
                <w:rtl w:val="0"/>
                <w:lang w:val="es-ES_tradnl"/>
              </w:rPr>
              <w:t xml:space="preserve"> en la comprensi</w:t>
            </w:r>
            <w:r>
              <w:rPr>
                <w:b w:val="0"/>
                <w:bCs w:val="0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0"/>
                <w:bCs w:val="0"/>
                <w:sz w:val="20"/>
                <w:szCs w:val="20"/>
                <w:rtl w:val="0"/>
                <w:lang w:val="es-ES_tradnl"/>
              </w:rPr>
              <w:t>n de fen</w:t>
            </w:r>
            <w:r>
              <w:rPr>
                <w:b w:val="0"/>
                <w:bCs w:val="0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0"/>
                <w:bCs w:val="0"/>
                <w:sz w:val="20"/>
                <w:szCs w:val="20"/>
                <w:rtl w:val="0"/>
                <w:lang w:val="es-ES_tradnl"/>
              </w:rPr>
              <w:t>menos naturales, para la creaci</w:t>
            </w:r>
            <w:r>
              <w:rPr>
                <w:b w:val="0"/>
                <w:bCs w:val="0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0"/>
                <w:bCs w:val="0"/>
                <w:sz w:val="20"/>
                <w:szCs w:val="20"/>
                <w:rtl w:val="0"/>
                <w:lang w:val="es-ES_tradnl"/>
              </w:rPr>
              <w:t>n de nuevo conocimiento.</w:t>
            </w:r>
          </w:p>
        </w:tc>
      </w:tr>
    </w:tbl>
    <w:p>
      <w:pPr>
        <w:pStyle w:val="Body"/>
        <w:widowControl w:val="0"/>
        <w:spacing w:after="0" w:line="240" w:lineRule="auto"/>
        <w:ind w:left="896" w:hanging="896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outline w:val="0"/>
          <w:color w:val="ff0000"/>
          <w:sz w:val="20"/>
          <w:szCs w:val="2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s-ES_tradnl"/>
        </w:rPr>
        <w:t xml:space="preserve">5. Resultados de Aprendizaje </w:t>
      </w:r>
    </w:p>
    <w:tbl>
      <w:tblPr>
        <w:tblW w:w="8959" w:type="dxa"/>
        <w:jc w:val="left"/>
        <w:tblInd w:w="10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59"/>
      </w:tblGrid>
      <w:tr>
        <w:tblPrEx>
          <w:shd w:val="clear" w:color="auto" w:fill="ced7e7"/>
        </w:tblPrEx>
        <w:trPr>
          <w:trHeight w:val="7350" w:hRule="atLeast"/>
        </w:trPr>
        <w:tc>
          <w:tcPr>
            <w:tcW w:type="dxa" w:w="8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"/>
              <w:jc w:val="both"/>
              <w:rPr>
                <w:b w:val="1"/>
                <w:bCs w:val="1"/>
                <w:sz w:val="20"/>
                <w:szCs w:val="20"/>
                <w:u w:val="single"/>
              </w:rPr>
            </w:pP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El objetivo principal del curso es que los/as estudiantes se familiaricen con la variedad de t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é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cnicas de cosmolog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í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a observacional, entreg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á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 xml:space="preserve">ndoles las herramientas que necesitan para contribuir al conocimiento en esta 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á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rea. Para esto, se pondr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á é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nfasis en tareas pr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á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cticas en que los/as estudiantes analizar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á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n datos p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ú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blicos de proyectos de cosmolog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í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a observacional, adem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á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s de ex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á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menes de conocimiento y una presentaci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ó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n basada en un art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í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culo cient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í</w:t>
            </w:r>
            <w:r>
              <w:rPr>
                <w:b w:val="0"/>
                <w:bCs w:val="0"/>
                <w:sz w:val="22"/>
                <w:szCs w:val="22"/>
                <w:u w:val="none"/>
                <w:rtl w:val="0"/>
                <w:lang w:val="en-US"/>
              </w:rPr>
              <w:t>fico relacionado.</w:t>
            </w:r>
          </w:p>
          <w:p>
            <w:pPr>
              <w:pStyle w:val="Body"/>
              <w:spacing w:after="20" w:line="240" w:lineRule="auto"/>
              <w:jc w:val="both"/>
              <w:rPr>
                <w:b w:val="1"/>
                <w:bCs w:val="1"/>
                <w:sz w:val="20"/>
                <w:szCs w:val="20"/>
                <w:u w:val="single"/>
                <w:lang w:val="es-ES_tradnl"/>
              </w:rPr>
            </w:pPr>
          </w:p>
          <w:p>
            <w:pPr>
              <w:pStyle w:val="Body"/>
              <w:bidi w:val="0"/>
              <w:spacing w:after="20" w:line="240" w:lineRule="auto"/>
              <w:ind w:left="0" w:right="0" w:firstLine="0"/>
              <w:jc w:val="both"/>
              <w:rPr>
                <w:b w:val="1"/>
                <w:bCs w:val="1"/>
                <w:sz w:val="20"/>
                <w:szCs w:val="20"/>
                <w:u w:val="single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u w:val="single"/>
                <w:rtl w:val="0"/>
                <w:lang w:val="es-ES_tradnl"/>
              </w:rPr>
              <w:t>De las competencias gen</w:t>
            </w:r>
            <w:r>
              <w:rPr>
                <w:b w:val="1"/>
                <w:bCs w:val="1"/>
                <w:sz w:val="20"/>
                <w:szCs w:val="20"/>
                <w:u w:val="single"/>
                <w:rtl w:val="0"/>
                <w:lang w:val="es-ES_tradnl"/>
              </w:rPr>
              <w:t>é</w:t>
            </w:r>
            <w:r>
              <w:rPr>
                <w:b w:val="1"/>
                <w:bCs w:val="1"/>
                <w:sz w:val="20"/>
                <w:szCs w:val="20"/>
                <w:u w:val="single"/>
                <w:rtl w:val="0"/>
                <w:lang w:val="es-ES_tradnl"/>
              </w:rPr>
              <w:t>ricas transversales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20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Reconoce y referencia adecuadamente el trabajo cient</w:t>
            </w:r>
            <w:r>
              <w:rPr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sz w:val="20"/>
                <w:szCs w:val="20"/>
                <w:rtl w:val="0"/>
                <w:lang w:val="es-ES_tradnl"/>
              </w:rPr>
              <w:t>fico de otros.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20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Act</w:t>
            </w:r>
            <w:r>
              <w:rPr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sz w:val="20"/>
                <w:szCs w:val="20"/>
                <w:rtl w:val="0"/>
                <w:lang w:val="es-ES_tradnl"/>
              </w:rPr>
              <w:t>a con honestidad y autorregulaci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 en su quehacer acad</w:t>
            </w:r>
            <w:r>
              <w:rPr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sz w:val="20"/>
                <w:szCs w:val="20"/>
                <w:rtl w:val="0"/>
                <w:lang w:val="es-ES_tradnl"/>
              </w:rPr>
              <w:t>mico y profesional.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20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Entrega de manera oportuna sus informes y/o tareas encomendadas.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20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Eval</w:t>
            </w:r>
            <w:r>
              <w:rPr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sz w:val="20"/>
                <w:szCs w:val="20"/>
                <w:rtl w:val="0"/>
                <w:lang w:val="es-ES_tradnl"/>
              </w:rPr>
              <w:t>a las soluciones implementadas utilizando el m</w:t>
            </w:r>
            <w:r>
              <w:rPr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sz w:val="20"/>
                <w:szCs w:val="20"/>
                <w:rtl w:val="0"/>
                <w:lang w:val="es-ES_tradnl"/>
              </w:rPr>
              <w:t>todo cient</w:t>
            </w:r>
            <w:r>
              <w:rPr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sz w:val="20"/>
                <w:szCs w:val="20"/>
                <w:rtl w:val="0"/>
                <w:lang w:val="es-ES_tradnl"/>
              </w:rPr>
              <w:t>fico.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20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Analiza cr</w:t>
            </w:r>
            <w:r>
              <w:rPr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sz w:val="20"/>
                <w:szCs w:val="20"/>
                <w:rtl w:val="0"/>
                <w:lang w:val="es-ES_tradnl"/>
              </w:rPr>
              <w:t>tica y contextualmente el trabajo de investigaci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 propio y de otros.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20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Discute con otros usando argumentos cient</w:t>
            </w:r>
            <w:r>
              <w:rPr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sz w:val="20"/>
                <w:szCs w:val="20"/>
                <w:rtl w:val="0"/>
                <w:lang w:val="es-ES_tradnl"/>
              </w:rPr>
              <w:t>ficos, adecuando su lenguaje de acuerdo al contexto.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20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 xml:space="preserve">Explica efectivamente el conocimiento de su disciplina a sus pares. </w:t>
            </w:r>
          </w:p>
          <w:p>
            <w:pPr>
              <w:pStyle w:val="Body"/>
              <w:spacing w:after="20"/>
              <w:ind w:left="201" w:hanging="201"/>
              <w:jc w:val="both"/>
              <w:rPr>
                <w:b w:val="1"/>
                <w:bCs w:val="1"/>
                <w:i w:val="1"/>
                <w:iCs w:val="1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spacing w:after="20" w:line="240" w:lineRule="auto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u w:val="single"/>
                <w:rtl w:val="0"/>
                <w:lang w:val="es-ES_tradnl"/>
              </w:rPr>
              <w:t>De las competencias espec</w:t>
            </w:r>
            <w:r>
              <w:rPr>
                <w:b w:val="1"/>
                <w:bCs w:val="1"/>
                <w:sz w:val="20"/>
                <w:szCs w:val="20"/>
                <w:u w:val="single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sz w:val="20"/>
                <w:szCs w:val="20"/>
                <w:u w:val="single"/>
                <w:rtl w:val="0"/>
                <w:lang w:val="es-ES_tradnl"/>
              </w:rPr>
              <w:t>ficas disciplinares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spacing w:after="20"/>
              <w:ind w:right="0"/>
              <w:jc w:val="both"/>
              <w:rPr>
                <w:b w:val="1"/>
                <w:bCs w:val="1"/>
                <w:i w:val="1"/>
                <w:iCs w:val="1"/>
                <w:sz w:val="20"/>
                <w:szCs w:val="20"/>
                <w:rtl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Reconoce las distintas t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cnicas de cosmolog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a observacional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spacing w:after="20"/>
              <w:ind w:right="0"/>
              <w:jc w:val="both"/>
              <w:rPr>
                <w:b w:val="1"/>
                <w:bCs w:val="1"/>
                <w:i w:val="1"/>
                <w:iCs w:val="1"/>
                <w:sz w:val="20"/>
                <w:szCs w:val="20"/>
                <w:rtl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Identifica los experimentos que se han llevado a cabo, su dise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ñ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o, sus motivaciones y resultados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spacing w:after="20"/>
              <w:ind w:right="0"/>
              <w:jc w:val="both"/>
              <w:rPr>
                <w:b w:val="1"/>
                <w:bCs w:val="1"/>
                <w:i w:val="1"/>
                <w:iCs w:val="1"/>
                <w:sz w:val="20"/>
                <w:szCs w:val="20"/>
                <w:rtl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Explica nuestro endendimiento actual de cosmolog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a en base a observaciones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spacing w:after="20"/>
              <w:ind w:right="0"/>
              <w:jc w:val="both"/>
              <w:rPr>
                <w:b w:val="1"/>
                <w:bCs w:val="1"/>
                <w:i w:val="1"/>
                <w:iCs w:val="1"/>
                <w:sz w:val="20"/>
                <w:szCs w:val="20"/>
                <w:rtl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Puede llevar a cabo un an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lisis b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sico de datos observacionales para inferencias cosmol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gicas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spacing w:after="20"/>
              <w:ind w:right="0"/>
              <w:jc w:val="both"/>
              <w:rPr>
                <w:b w:val="1"/>
                <w:bCs w:val="1"/>
                <w:i w:val="1"/>
                <w:iCs w:val="1"/>
                <w:sz w:val="20"/>
                <w:szCs w:val="20"/>
                <w:rtl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Identifica los experimentos planeados y sus motivaciones</w:t>
            </w:r>
          </w:p>
        </w:tc>
      </w:tr>
    </w:tbl>
    <w:p>
      <w:pPr>
        <w:pStyle w:val="Body"/>
        <w:widowControl w:val="0"/>
        <w:spacing w:after="0" w:line="240" w:lineRule="auto"/>
        <w:ind w:left="896" w:hanging="896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s-ES_tradnl"/>
        </w:rPr>
        <w:t>6. Contenidos</w:t>
      </w:r>
    </w:p>
    <w:tbl>
      <w:tblPr>
        <w:tblW w:w="8924" w:type="dxa"/>
        <w:jc w:val="left"/>
        <w:tblInd w:w="10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24"/>
      </w:tblGrid>
      <w:tr>
        <w:tblPrEx>
          <w:shd w:val="clear" w:color="auto" w:fill="ced7e7"/>
        </w:tblPrEx>
        <w:trPr>
          <w:trHeight w:val="9838" w:hRule="atLeast"/>
        </w:trPr>
        <w:tc>
          <w:tcPr>
            <w:tcW w:type="dxa" w:w="8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i w:val="1"/>
                <w:iCs w:val="1"/>
                <w:outline w:val="0"/>
                <w:color w:val="4f81bd"/>
                <w:sz w:val="20"/>
                <w:szCs w:val="20"/>
                <w:u w:color="4f81bd"/>
                <w:lang w:val="es-ES_tradnl"/>
                <w14:textFill>
                  <w14:solidFill>
                    <w14:srgbClr w14:val="4F81BD"/>
                  </w14:solidFill>
                </w14:textFill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n-US"/>
              </w:rPr>
              <w:t>Introducci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n.- El model cosmol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gico de concordancia LambdaCDM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sz w:val="20"/>
                <w:szCs w:val="20"/>
                <w:rtl w:val="0"/>
                <w:lang w:val="es-ES_tradnl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 xml:space="preserve">Unidad I.- </w:t>
            </w:r>
            <w:r>
              <w:rPr>
                <w:sz w:val="20"/>
                <w:szCs w:val="20"/>
                <w:rtl w:val="0"/>
                <w:lang w:val="en-US"/>
              </w:rPr>
              <w:t>Escalera cosmol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gica de distancias</w:t>
            </w:r>
          </w:p>
          <w:p>
            <w:pPr>
              <w:pStyle w:val="Body"/>
              <w:spacing w:after="0"/>
              <w:rPr>
                <w:sz w:val="20"/>
                <w:szCs w:val="20"/>
                <w:lang w:val="es-ES_tradnl"/>
              </w:rPr>
            </w:pPr>
          </w:p>
          <w:p>
            <w:pPr>
              <w:pStyle w:val="Body"/>
              <w:numPr>
                <w:ilvl w:val="0"/>
                <w:numId w:val="5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Medidas directas de distancia: Paralaje</w:t>
            </w:r>
          </w:p>
          <w:p>
            <w:pPr>
              <w:pStyle w:val="Body"/>
              <w:numPr>
                <w:ilvl w:val="0"/>
                <w:numId w:val="5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Medidas indirectas calibradas: Cefeidas y Supernovas tipo Ia</w:t>
            </w:r>
          </w:p>
          <w:p>
            <w:pPr>
              <w:pStyle w:val="Body"/>
              <w:numPr>
                <w:ilvl w:val="0"/>
                <w:numId w:val="5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Constante de Hubble</w:t>
            </w:r>
          </w:p>
          <w:p>
            <w:pPr>
              <w:pStyle w:val="Body"/>
              <w:numPr>
                <w:ilvl w:val="0"/>
                <w:numId w:val="5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Expansi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n acelerada</w:t>
            </w:r>
          </w:p>
          <w:p>
            <w:pPr>
              <w:pStyle w:val="Body"/>
              <w:spacing w:after="0"/>
              <w:rPr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 xml:space="preserve">Unidad II.- </w:t>
            </w:r>
            <w:r>
              <w:rPr>
                <w:sz w:val="20"/>
                <w:szCs w:val="20"/>
                <w:rtl w:val="0"/>
                <w:lang w:val="en-US"/>
              </w:rPr>
              <w:t>Estructura a gran escala</w:t>
            </w:r>
          </w:p>
          <w:p>
            <w:pPr>
              <w:pStyle w:val="Body"/>
              <w:spacing w:after="0"/>
              <w:rPr>
                <w:sz w:val="20"/>
                <w:szCs w:val="20"/>
                <w:lang w:val="es-ES_tradnl"/>
              </w:rPr>
            </w:pPr>
          </w:p>
          <w:p>
            <w:pPr>
              <w:pStyle w:val="Body"/>
              <w:numPr>
                <w:ilvl w:val="0"/>
                <w:numId w:val="6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Formaci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n y red c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smica de estructuras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Aglomeraci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n (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clustering</w:t>
            </w:r>
            <w:r>
              <w:rPr>
                <w:sz w:val="20"/>
                <w:szCs w:val="20"/>
                <w:rtl w:val="0"/>
                <w:lang w:val="en-US"/>
              </w:rPr>
              <w:t>) de galaxias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Abundancia de c</w:t>
            </w:r>
            <w:r>
              <w:rPr>
                <w:sz w:val="20"/>
                <w:szCs w:val="20"/>
                <w:rtl w:val="0"/>
                <w:lang w:val="en-US"/>
              </w:rPr>
              <w:t>ú</w:t>
            </w:r>
            <w:r>
              <w:rPr>
                <w:sz w:val="20"/>
                <w:szCs w:val="20"/>
                <w:rtl w:val="0"/>
                <w:lang w:val="en-US"/>
              </w:rPr>
              <w:t>mulos de galaxias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Abundancia y estructura de vac</w:t>
            </w:r>
            <w:r>
              <w:rPr>
                <w:sz w:val="20"/>
                <w:szCs w:val="20"/>
                <w:rtl w:val="0"/>
                <w:lang w:val="en-US"/>
              </w:rPr>
              <w:t>í</w:t>
            </w:r>
            <w:r>
              <w:rPr>
                <w:sz w:val="20"/>
                <w:szCs w:val="20"/>
                <w:rtl w:val="0"/>
                <w:lang w:val="en-US"/>
              </w:rPr>
              <w:t>os de galaxias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Efectos de lentes gravitacionales fuerte y d</w:t>
            </w:r>
            <w:r>
              <w:rPr>
                <w:sz w:val="20"/>
                <w:szCs w:val="20"/>
                <w:rtl w:val="0"/>
                <w:lang w:val="en-US"/>
              </w:rPr>
              <w:t>é</w:t>
            </w:r>
            <w:r>
              <w:rPr>
                <w:sz w:val="20"/>
                <w:szCs w:val="20"/>
                <w:rtl w:val="0"/>
                <w:lang w:val="en-US"/>
              </w:rPr>
              <w:t>bil</w:t>
            </w:r>
          </w:p>
          <w:p>
            <w:pPr>
              <w:pStyle w:val="Body"/>
              <w:spacing w:after="0"/>
              <w:rPr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 xml:space="preserve">Unidad III.- </w:t>
            </w:r>
            <w:r>
              <w:rPr>
                <w:sz w:val="20"/>
                <w:szCs w:val="20"/>
                <w:rtl w:val="0"/>
                <w:lang w:val="en-US"/>
              </w:rPr>
              <w:t>É</w:t>
            </w:r>
            <w:r>
              <w:rPr>
                <w:sz w:val="20"/>
                <w:szCs w:val="20"/>
                <w:rtl w:val="0"/>
                <w:lang w:val="en-US"/>
              </w:rPr>
              <w:t>poca de reionizaci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n</w:t>
            </w:r>
          </w:p>
          <w:p>
            <w:pPr>
              <w:pStyle w:val="Body"/>
              <w:spacing w:after="0"/>
              <w:rPr>
                <w:sz w:val="20"/>
                <w:szCs w:val="20"/>
                <w:lang w:val="es-ES_tradnl"/>
              </w:rPr>
            </w:pPr>
          </w:p>
          <w:p>
            <w:pPr>
              <w:pStyle w:val="Body"/>
              <w:numPr>
                <w:ilvl w:val="0"/>
                <w:numId w:val="7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Fuentes de reionizaci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n</w:t>
            </w:r>
          </w:p>
          <w:p>
            <w:pPr>
              <w:pStyle w:val="Body"/>
              <w:numPr>
                <w:ilvl w:val="0"/>
                <w:numId w:val="7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Observaciones en 21 cm</w:t>
            </w:r>
          </w:p>
          <w:p>
            <w:pPr>
              <w:pStyle w:val="Body"/>
              <w:numPr>
                <w:ilvl w:val="0"/>
                <w:numId w:val="7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Mapeo de intensidad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Unidad IV.- Fondo c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smico de microondas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sz w:val="20"/>
                <w:szCs w:val="20"/>
                <w:rtl w:val="0"/>
                <w:lang w:val="es-ES_tradnl"/>
              </w:rPr>
            </w:pPr>
          </w:p>
          <w:p>
            <w:pPr>
              <w:pStyle w:val="Body"/>
              <w:numPr>
                <w:ilvl w:val="0"/>
                <w:numId w:val="7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Espectros de potencias de temperatura y polarizaci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n</w:t>
            </w:r>
          </w:p>
          <w:p>
            <w:pPr>
              <w:pStyle w:val="Body"/>
              <w:numPr>
                <w:ilvl w:val="0"/>
                <w:numId w:val="7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Efectos Sunyaev-Zel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dovich t</w:t>
            </w:r>
            <w:r>
              <w:rPr>
                <w:sz w:val="20"/>
                <w:szCs w:val="20"/>
                <w:rtl w:val="0"/>
                <w:lang w:val="en-US"/>
              </w:rPr>
              <w:t>é</w:t>
            </w:r>
            <w:r>
              <w:rPr>
                <w:sz w:val="20"/>
                <w:szCs w:val="20"/>
                <w:rtl w:val="0"/>
                <w:lang w:val="en-US"/>
              </w:rPr>
              <w:t>rmico y cin</w:t>
            </w:r>
            <w:r>
              <w:rPr>
                <w:sz w:val="20"/>
                <w:szCs w:val="20"/>
                <w:rtl w:val="0"/>
                <w:lang w:val="en-US"/>
              </w:rPr>
              <w:t>é</w:t>
            </w:r>
            <w:r>
              <w:rPr>
                <w:sz w:val="20"/>
                <w:szCs w:val="20"/>
                <w:rtl w:val="0"/>
                <w:lang w:val="en-US"/>
              </w:rPr>
              <w:t>tico</w:t>
            </w:r>
          </w:p>
          <w:p>
            <w:pPr>
              <w:pStyle w:val="Body"/>
              <w:numPr>
                <w:ilvl w:val="0"/>
                <w:numId w:val="7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Efecto de lente gravitacional</w:t>
            </w:r>
          </w:p>
          <w:p>
            <w:pPr>
              <w:pStyle w:val="Body"/>
              <w:numPr>
                <w:ilvl w:val="0"/>
                <w:numId w:val="7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Efecto Sachs-Wolfe integrado</w:t>
            </w:r>
          </w:p>
          <w:p>
            <w:pPr>
              <w:pStyle w:val="Body"/>
              <w:numPr>
                <w:ilvl w:val="0"/>
                <w:numId w:val="7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Homogeneidad de reionizaci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n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Body"/>
        <w:widowControl w:val="0"/>
        <w:spacing w:after="0" w:line="240" w:lineRule="auto"/>
        <w:ind w:left="896" w:hanging="896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pt-PT"/>
        </w:rPr>
        <w:t>7. Metodolog</w:t>
      </w:r>
      <w:r>
        <w:rPr>
          <w:b w:val="1"/>
          <w:bCs w:val="1"/>
          <w:sz w:val="20"/>
          <w:szCs w:val="20"/>
          <w:rtl w:val="0"/>
        </w:rPr>
        <w:t>í</w:t>
      </w:r>
      <w:r>
        <w:rPr>
          <w:b w:val="1"/>
          <w:bCs w:val="1"/>
          <w:sz w:val="20"/>
          <w:szCs w:val="20"/>
          <w:rtl w:val="0"/>
          <w:lang w:val="pt-PT"/>
        </w:rPr>
        <w:t>a (Estrategias de ense</w:t>
      </w:r>
      <w:r>
        <w:rPr>
          <w:b w:val="1"/>
          <w:bCs w:val="1"/>
          <w:sz w:val="20"/>
          <w:szCs w:val="20"/>
          <w:rtl w:val="0"/>
          <w:lang w:val="es-ES_tradnl"/>
        </w:rPr>
        <w:t>ñ</w:t>
      </w:r>
      <w:r>
        <w:rPr>
          <w:b w:val="1"/>
          <w:bCs w:val="1"/>
          <w:sz w:val="20"/>
          <w:szCs w:val="20"/>
          <w:rtl w:val="0"/>
          <w:lang w:val="es-ES_tradnl"/>
        </w:rPr>
        <w:t>anza-aprendizaje)</w:t>
      </w:r>
    </w:p>
    <w:tbl>
      <w:tblPr>
        <w:tblW w:w="8959" w:type="dxa"/>
        <w:jc w:val="left"/>
        <w:tblInd w:w="10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59"/>
      </w:tblGrid>
      <w:tr>
        <w:tblPrEx>
          <w:shd w:val="clear" w:color="auto" w:fill="ced7e7"/>
        </w:tblPrEx>
        <w:trPr>
          <w:trHeight w:val="2368" w:hRule="atLeast"/>
        </w:trPr>
        <w:tc>
          <w:tcPr>
            <w:tcW w:type="dxa" w:w="8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Los y las estudiantes realizar</w:t>
            </w:r>
            <w:r>
              <w:rPr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sz w:val="20"/>
                <w:szCs w:val="20"/>
                <w:rtl w:val="0"/>
                <w:lang w:val="es-ES_tradnl"/>
              </w:rPr>
              <w:t>n las siguientes actividades para el logro de los resultados de aprendizaje:</w:t>
            </w:r>
          </w:p>
          <w:p>
            <w:pPr>
              <w:pStyle w:val="Body"/>
              <w:numPr>
                <w:ilvl w:val="0"/>
                <w:numId w:val="8"/>
              </w:numPr>
              <w:bidi w:val="0"/>
              <w:spacing w:after="0" w:line="240" w:lineRule="auto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lectura de textos</w:t>
            </w:r>
          </w:p>
          <w:p>
            <w:pPr>
              <w:pStyle w:val="Body"/>
              <w:numPr>
                <w:ilvl w:val="0"/>
                <w:numId w:val="8"/>
              </w:numPr>
              <w:bidi w:val="0"/>
              <w:spacing w:after="0" w:line="240" w:lineRule="auto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exposiciones</w:t>
            </w:r>
          </w:p>
          <w:p>
            <w:pPr>
              <w:pStyle w:val="Body"/>
              <w:numPr>
                <w:ilvl w:val="0"/>
                <w:numId w:val="8"/>
              </w:numPr>
              <w:bidi w:val="0"/>
              <w:spacing w:after="0" w:line="240" w:lineRule="auto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asistencia a seminarios y coloquios sobre astrof</w:t>
            </w:r>
            <w:r>
              <w:rPr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sz w:val="20"/>
                <w:szCs w:val="20"/>
                <w:rtl w:val="0"/>
                <w:lang w:val="es-ES_tradnl"/>
              </w:rPr>
              <w:t>sica</w:t>
            </w:r>
          </w:p>
          <w:p>
            <w:pPr>
              <w:pStyle w:val="Body"/>
              <w:numPr>
                <w:ilvl w:val="0"/>
                <w:numId w:val="8"/>
              </w:numPr>
              <w:bidi w:val="0"/>
              <w:spacing w:after="0" w:line="240" w:lineRule="auto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resoluci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 de ejercicios</w:t>
            </w:r>
          </w:p>
          <w:p>
            <w:pPr>
              <w:pStyle w:val="Body"/>
              <w:numPr>
                <w:ilvl w:val="0"/>
                <w:numId w:val="8"/>
              </w:numPr>
              <w:bidi w:val="0"/>
              <w:spacing w:after="0" w:line="240" w:lineRule="auto"/>
              <w:ind w:right="0"/>
              <w:jc w:val="both"/>
              <w:rPr>
                <w:sz w:val="20"/>
                <w:szCs w:val="20"/>
                <w:rtl w:val="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trabajo en equipo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Body"/>
        <w:widowControl w:val="0"/>
        <w:spacing w:after="0" w:line="240" w:lineRule="auto"/>
        <w:ind w:left="896" w:hanging="896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s-ES_tradnl"/>
        </w:rPr>
        <w:t>8. Evaluaci</w:t>
      </w:r>
      <w:r>
        <w:rPr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b w:val="1"/>
          <w:bCs w:val="1"/>
          <w:sz w:val="20"/>
          <w:szCs w:val="20"/>
          <w:rtl w:val="0"/>
          <w:lang w:val="es-ES_tradnl"/>
        </w:rPr>
        <w:t xml:space="preserve">n de los resultados de aprendizaje </w:t>
      </w:r>
    </w:p>
    <w:tbl>
      <w:tblPr>
        <w:tblW w:w="897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91"/>
        <w:gridCol w:w="5983"/>
      </w:tblGrid>
      <w:tr>
        <w:tblPrEx>
          <w:shd w:val="clear" w:color="auto" w:fill="ced7e7"/>
        </w:tblPrEx>
        <w:trPr>
          <w:trHeight w:val="3566" w:hRule="atLeast"/>
        </w:trPr>
        <w:tc>
          <w:tcPr>
            <w:tcW w:type="dxa" w:w="2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Requisitos de aprobaci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 y calificaci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</w:t>
            </w:r>
          </w:p>
        </w:tc>
        <w:tc>
          <w:tcPr>
            <w:tcW w:type="dxa" w:w="5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La asistencia a clase es obligatoria. La nota m</w:t>
            </w:r>
            <w:r>
              <w:rPr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sz w:val="20"/>
                <w:szCs w:val="20"/>
                <w:rtl w:val="0"/>
                <w:lang w:val="es-ES_tradnl"/>
              </w:rPr>
              <w:t>nima de aprobaci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 xml:space="preserve">n es de 70 en escala de 0 a 100.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El proceso de evaluaci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 y calificaci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 consiste en: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i w:val="1"/>
                <w:iCs w:val="1"/>
                <w:sz w:val="20"/>
                <w:szCs w:val="20"/>
                <w:shd w:val="clear" w:color="auto" w:fill="00ffff"/>
                <w:rtl w:val="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shd w:val="clear" w:color="auto" w:fill="00ffff"/>
                <w:rtl w:val="0"/>
                <w:lang w:val="es-ES_tradnl"/>
              </w:rPr>
              <w:t>Pruebas, tareas y exposiciones.</w:t>
            </w:r>
          </w:p>
          <w:p>
            <w:pPr>
              <w:pStyle w:val="Body"/>
              <w:spacing w:after="0" w:line="240" w:lineRule="auto"/>
              <w:jc w:val="both"/>
              <w:rPr>
                <w:b w:val="1"/>
                <w:bCs w:val="1"/>
                <w:i w:val="1"/>
                <w:iCs w:val="1"/>
                <w:outline w:val="0"/>
                <w:color w:val="548dd4"/>
                <w:sz w:val="20"/>
                <w:szCs w:val="20"/>
                <w:u w:color="548dd4"/>
                <w:shd w:val="clear" w:color="auto" w:fill="00ffff"/>
                <w:lang w:val="es-ES_tradnl"/>
                <w14:textFill>
                  <w14:solidFill>
                    <w14:srgbClr w14:val="548DD4"/>
                  </w14:solidFill>
                </w14:textFill>
              </w:rPr>
            </w:pPr>
          </w:p>
          <w:p>
            <w:pPr>
              <w:pStyle w:val="Body"/>
              <w:jc w:val="center"/>
              <w:rPr>
                <w:b w:val="1"/>
                <w:bCs w:val="1"/>
                <w:sz w:val="20"/>
                <w:szCs w:val="20"/>
                <w:lang w:val="es-ES_tradnl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 Instrumentos de evaluaci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n.</w:t>
              <w:tab/>
              <w:t>%</w:t>
            </w:r>
          </w:p>
          <w:p>
            <w:pPr>
              <w:pStyle w:val="Body"/>
              <w:jc w:val="center"/>
              <w:rPr>
                <w:b w:val="1"/>
                <w:bCs w:val="1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Pruebas</w:t>
              <w:tab/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40</w:t>
            </w:r>
          </w:p>
          <w:p>
            <w:pPr>
              <w:pStyle w:val="Body"/>
              <w:jc w:val="center"/>
              <w:rPr>
                <w:b w:val="1"/>
                <w:bCs w:val="1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Exposici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2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0</w:t>
            </w:r>
          </w:p>
          <w:p>
            <w:pPr>
              <w:pStyle w:val="Body"/>
              <w:jc w:val="center"/>
            </w:pPr>
            <w:r>
              <w:rPr>
                <w:sz w:val="20"/>
                <w:szCs w:val="20"/>
                <w:rtl w:val="0"/>
                <w:lang w:val="es-ES_tradnl"/>
              </w:rPr>
              <w:t>Tareas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4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0</w:t>
            </w:r>
          </w:p>
        </w:tc>
      </w:tr>
    </w:tbl>
    <w:p>
      <w:pPr>
        <w:pStyle w:val="Body"/>
        <w:widowControl w:val="0"/>
        <w:spacing w:after="0" w:line="240" w:lineRule="auto"/>
        <w:ind w:left="108" w:hanging="108"/>
        <w:rPr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s-ES_tradnl"/>
        </w:rPr>
        <w:t>9. Recursos para el aprendizaje</w:t>
      </w:r>
    </w:p>
    <w:tbl>
      <w:tblPr>
        <w:tblW w:w="892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5"/>
        <w:gridCol w:w="5950"/>
      </w:tblGrid>
      <w:tr>
        <w:tblPrEx>
          <w:shd w:val="clear" w:color="auto" w:fill="ced7e7"/>
        </w:tblPrEx>
        <w:trPr>
          <w:trHeight w:val="5652" w:hRule="atLeast"/>
        </w:trPr>
        <w:tc>
          <w:tcPr>
            <w:tcW w:type="dxa" w:w="2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Bibliograf</w:t>
            </w:r>
            <w:r>
              <w:rPr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sz w:val="20"/>
                <w:szCs w:val="20"/>
                <w:rtl w:val="0"/>
                <w:lang w:val="es-ES_tradnl"/>
              </w:rPr>
              <w:t>a Recomendada</w:t>
            </w:r>
          </w:p>
        </w:tc>
        <w:tc>
          <w:tcPr>
            <w:tcW w:type="dxa" w:w="5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9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Observational Cosmology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. S. Serjeant, Cambridge University Press, 2010</w:t>
            </w:r>
          </w:p>
          <w:p>
            <w:pPr>
              <w:pStyle w:val="Body"/>
              <w:numPr>
                <w:ilvl w:val="0"/>
                <w:numId w:val="9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Introduction to Cosmology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 xml:space="preserve">. B. Ryden, </w:t>
            </w:r>
            <w:r>
              <w:rPr>
                <w:sz w:val="20"/>
                <w:szCs w:val="20"/>
                <w:rtl w:val="0"/>
                <w:lang w:val="en-US"/>
              </w:rPr>
              <w:t xml:space="preserve">Cambridge University Press, 2006, 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"http://carina.fcaglp.unlp.edu.ar/extragalactica/Bibliografia/Ryden_IntroCosmo.pdf"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pt-PT"/>
              </w:rPr>
              <w:t>http://carina.fcaglp.unlp.edu.ar/extragalactica/Bibliografia/Ryden_IntroCosmo.pdf</w:t>
            </w:r>
            <w:r>
              <w:rPr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spacing w:after="0"/>
              <w:rPr>
                <w:u w:val="single"/>
                <w:lang w:val="es-ES_tradnl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u w:val="single"/>
                <w:rtl w:val="0"/>
                <w:lang w:val="es-ES_tradnl"/>
              </w:rPr>
              <w:t>Art</w:t>
            </w:r>
            <w:r>
              <w:rPr>
                <w:sz w:val="20"/>
                <w:szCs w:val="20"/>
                <w:u w:val="single"/>
                <w:rtl w:val="0"/>
                <w:lang w:val="es-ES_tradnl"/>
              </w:rPr>
              <w:t>í</w:t>
            </w:r>
            <w:r>
              <w:rPr>
                <w:sz w:val="20"/>
                <w:szCs w:val="20"/>
                <w:u w:val="single"/>
                <w:rtl w:val="0"/>
                <w:lang w:val="es-ES_tradnl"/>
              </w:rPr>
              <w:t>culos</w:t>
            </w:r>
            <w:r>
              <w:rPr>
                <w:sz w:val="20"/>
                <w:szCs w:val="20"/>
                <w:rtl w:val="0"/>
                <w:lang w:val="es-ES_tradnl"/>
              </w:rPr>
              <w:t xml:space="preserve">: </w:t>
            </w:r>
          </w:p>
          <w:p>
            <w:pPr>
              <w:pStyle w:val="Body"/>
              <w:spacing w:after="0"/>
              <w:rPr>
                <w:sz w:val="20"/>
                <w:szCs w:val="20"/>
                <w:lang w:val="es-ES_tradnl"/>
              </w:rPr>
            </w:pPr>
          </w:p>
          <w:p>
            <w:pPr>
              <w:pStyle w:val="Body"/>
              <w:numPr>
                <w:ilvl w:val="0"/>
                <w:numId w:val="10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J. Ostriker &amp; T. Souradeep (2004).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The current status of observational cosmology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 xml:space="preserve">.  Pramana, 63, 817, 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"https://arxiv.org/abs/astro-ph/0409131"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</w:rPr>
              <w:t>https://arxiv.org/abs/astro-ph/0409131</w:t>
            </w:r>
            <w:r>
              <w:rPr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numPr>
                <w:ilvl w:val="0"/>
                <w:numId w:val="10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D. Weinberg et al. (2013),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Observational probes of cosmic acceleration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 xml:space="preserve">. Physics Reports, 530, 87, 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"http://arxiv.org/abs/1201.2434"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de-DE"/>
              </w:rPr>
              <w:t>http://arxiv.org/abs/1201.2434</w:t>
            </w:r>
            <w:r>
              <w:rPr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numPr>
                <w:ilvl w:val="0"/>
                <w:numId w:val="10"/>
              </w:numPr>
              <w:bidi w:val="0"/>
              <w:spacing w:after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S. Allen, A. Evrard, &amp; A. Mantz (2011),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Cosmological parameters from observations of galaxy clusters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 xml:space="preserve">. Annual Reviews of Astronomy and Astrophysics, 49, 409, 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"https://arxiv.org/abs/1103.4829"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</w:rPr>
              <w:t>https://arxiv.org/abs/1103.4829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Body"/>
        <w:widowControl w:val="0"/>
        <w:spacing w:after="0" w:line="240" w:lineRule="auto"/>
        <w:ind w:left="108" w:hanging="108"/>
        <w:rPr>
          <w:sz w:val="20"/>
          <w:szCs w:val="20"/>
        </w:rPr>
      </w:pPr>
    </w:p>
    <w:p>
      <w:pPr>
        <w:pStyle w:val="Body"/>
        <w:spacing w:after="0"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rPr>
          <w:b w:val="1"/>
          <w:bCs w:val="1"/>
          <w:sz w:val="20"/>
          <w:szCs w:val="20"/>
        </w:rPr>
      </w:pPr>
    </w:p>
    <w:tbl>
      <w:tblPr>
        <w:tblW w:w="8930" w:type="dxa"/>
        <w:jc w:val="left"/>
        <w:tblInd w:w="24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79"/>
        <w:gridCol w:w="4351"/>
      </w:tblGrid>
      <w:tr>
        <w:tblPrEx>
          <w:shd w:val="clear" w:color="auto" w:fill="ced7e7"/>
        </w:tblPrEx>
        <w:trPr>
          <w:trHeight w:val="1944" w:hRule="atLeast"/>
        </w:trPr>
        <w:tc>
          <w:tcPr>
            <w:tcW w:type="dxa" w:w="4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 xml:space="preserve">Elaborado: </w:t>
            </w:r>
            <w:r>
              <w:rPr>
                <w:sz w:val="20"/>
                <w:szCs w:val="20"/>
                <w:rtl w:val="0"/>
                <w:lang w:val="en-US"/>
              </w:rPr>
              <w:t>Crist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bal Sif</w:t>
            </w:r>
            <w:r>
              <w:rPr>
                <w:sz w:val="20"/>
                <w:szCs w:val="20"/>
                <w:rtl w:val="0"/>
                <w:lang w:val="en-US"/>
              </w:rPr>
              <w:t>ó</w:t>
            </w:r>
            <w:r>
              <w:rPr>
                <w:sz w:val="20"/>
                <w:szCs w:val="20"/>
                <w:rtl w:val="0"/>
                <w:lang w:val="en-US"/>
              </w:rPr>
              <w:t>n</w:t>
            </w:r>
          </w:p>
          <w:p>
            <w:pPr>
              <w:pStyle w:val="Body"/>
              <w:bidi w:val="0"/>
              <w:spacing w:before="120" w:line="240" w:lineRule="auto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Fecha de aprobaci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 xml:space="preserve">n por Consejo de Departamento: </w:t>
            </w:r>
          </w:p>
          <w:p>
            <w:pPr>
              <w:pStyle w:val="Body"/>
              <w:bidi w:val="0"/>
              <w:spacing w:before="1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Fecha de aprobaci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 por CCDIP:</w:t>
            </w:r>
            <w:r>
              <w:rPr>
                <w:sz w:val="20"/>
                <w:szCs w:val="20"/>
              </w:rPr>
            </w:r>
          </w:p>
        </w:tc>
        <w:tc>
          <w:tcPr>
            <w:tcW w:type="dxa" w:w="4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line="240" w:lineRule="auto"/>
            </w:pPr>
            <w:r>
              <w:rPr>
                <w:sz w:val="20"/>
                <w:szCs w:val="20"/>
                <w:rtl w:val="0"/>
                <w:lang w:val="es-ES_tradnl"/>
              </w:rPr>
              <w:t xml:space="preserve">Observaciones: 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Body"/>
        <w:widowControl w:val="0"/>
        <w:spacing w:after="0" w:line="240" w:lineRule="auto"/>
        <w:ind w:left="137" w:hanging="137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</w:pPr>
      <w:r>
        <w:rPr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418" w:right="1274" w:bottom="1418" w:left="1701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419"/>
        <w:tab w:val="right" w:pos="8838"/>
      </w:tabs>
      <w:spacing w:after="0" w:line="240" w:lineRule="auto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vertAlign w:val="baseline"/>
        <w14:textFill>
          <w14:solidFill>
            <w14:srgbClr w14:val="000000"/>
          </w14:solidFill>
        </w14:textFill>
      </w:rPr>
      <w:drawing>
        <wp:inline distT="0" distB="0" distL="0" distR="0">
          <wp:extent cx="4117855" cy="496765"/>
          <wp:effectExtent l="0" t="0" r="0" b="0"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7855" cy="4967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vertAlign w:val="baseline"/>
        <w14:textFill>
          <w14:solidFill>
            <w14:srgbClr w14:val="000000"/>
          </w14:solidFill>
        </w14:textFill>
      </w:rPr>
      <w:drawing>
        <wp:inline distT="0" distB="0" distL="0" distR="0">
          <wp:extent cx="1533525" cy="819150"/>
          <wp:effectExtent l="0" t="0" r="0" b="0"/>
          <wp:docPr id="1073741826" name="officeArt object" descr="https://lh3.googleusercontent.com/7Y_c7p9S9JTEnNlgBl6O4Dw3vmAFd83QwePAs9ots9ZI-C5dqIBxu8bh6UTR1mdv6elwjmrxDKvLkienmuyLYDr4wFj0EbEr_32TGiMLZyig_8lCsYtDUefPL_49GeOta11ZIvW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https://lh3.googleusercontent.com/7Y_c7p9S9JTEnNlgBl6O4Dw3vmAFd83QwePAs9ots9ZI-C5dqIBxu8bh6UTR1mdv6elwjmrxDKvLkienmuyLYDr4wFj0EbEr_32TGiMLZyig_8lCsYtDUefPL_49GeOta11ZIvWi" descr="https://lh3.googleusercontent.com/7Y_c7p9S9JTEnNlgBl6O4Dw3vmAFd83QwePAs9ots9ZI-C5dqIBxu8bh6UTR1mdv6elwjmrxDKvLkienmuyLYDr4wFj0EbEr_32TGiMLZyig_8lCsYtDUefPL_49GeOta11ZIvWi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8191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tabs>
          <w:tab w:val="left" w:pos="484"/>
        </w:tabs>
        <w:ind w:left="201" w:hanging="14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84"/>
        </w:tabs>
        <w:ind w:left="921" w:hanging="14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84"/>
        </w:tabs>
        <w:ind w:left="1641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84"/>
        </w:tabs>
        <w:ind w:left="2361" w:hanging="14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84"/>
        </w:tabs>
        <w:ind w:left="3081" w:hanging="14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84"/>
        </w:tabs>
        <w:ind w:left="3801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84"/>
        </w:tabs>
        <w:ind w:left="4521" w:hanging="14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84"/>
        </w:tabs>
        <w:ind w:left="5241" w:hanging="14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84"/>
        </w:tabs>
        <w:ind w:left="5961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201" w:hanging="20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21" w:hanging="20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41" w:hanging="2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61" w:hanging="20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81" w:hanging="20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01" w:hanging="2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521" w:hanging="20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41" w:hanging="20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61" w:hanging="2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201" w:hanging="20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21" w:hanging="20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41" w:hanging="2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61" w:hanging="20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81" w:hanging="20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01" w:hanging="2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521" w:hanging="20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41" w:hanging="20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61" w:hanging="2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342" w:hanging="28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62" w:hanging="28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782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502" w:hanging="28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22" w:hanging="28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42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4662" w:hanging="28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382" w:hanging="28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02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