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1f4e79"/>
          <w:sz w:val="40"/>
          <w:szCs w:val="40"/>
          <w:rtl w:val="0"/>
        </w:rPr>
        <w:t xml:space="preserve">INFORME CONSOLIDADO DE ESTADO DE AVANCE N°3 (EA3)</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b w:val="1"/>
          <w:bCs w:val="1"/>
          <w:color w:val="404040"/>
          <w:sz w:val="30"/>
          <w:szCs w:val="30"/>
          <w:rtl w:val="0"/>
        </w:rPr>
        <w:t xml:space="preserve">Proyecto AffiniScore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color w:val="595959"/>
          <w:sz w:val="24"/>
          <w:szCs w:val="24"/>
          <w:rtl w:val="0"/>
        </w:rPr>
        <w:t xml:space="preserve">Aplicación Móvil para la Interacción Físico-Digital de Parejas</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b w:val="1"/>
          <w:bCs w:val="1"/>
          <w:color w:val="1f4e79"/>
          <w:sz w:val="22"/>
          <w:szCs w:val="22"/>
          <w:rtl w:val="0"/>
        </w:rPr>
        <w:t xml:space="preserve">VERSIÓN FINAL</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sz w:val="19"/>
                <w:szCs w:val="19"/>
                <w:rtl w:val="0"/>
              </w:rPr>
              <w:t xml:space="preserve">Asignatura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sz w:val="19"/>
                <w:szCs w:val="19"/>
                <w:rtl w:val="0"/>
              </w:rPr>
              <w:t xml:space="preserve">Taller Aplicado de Programación (TPY1101)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sz w:val="19"/>
                <w:szCs w:val="19"/>
                <w:rtl w:val="0"/>
              </w:rPr>
              <w:t xml:space="preserve">Docente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sz w:val="19"/>
                <w:szCs w:val="19"/>
                <w:rtl w:val="0"/>
              </w:rPr>
              <w:t xml:space="preserve">Arturo Vargas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sz w:val="19"/>
                <w:szCs w:val="19"/>
                <w:rtl w:val="0"/>
              </w:rPr>
              <w:t xml:space="preserve">Cliente Patrocinador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sz w:val="19"/>
                <w:szCs w:val="19"/>
                <w:rtl w:val="0"/>
              </w:rPr>
              <w:t xml:space="preserve">Academia Tecnológica Triskeledu — Cristián Gómez Vega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sz w:val="19"/>
                <w:szCs w:val="19"/>
                <w:rtl w:val="0"/>
              </w:rPr>
              <w:t xml:space="preserve">Equipo de 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40" w:lineRule="auto"/>
              <w:rPr/>
            </w:pPr>
            <w:r w:rsidDel="00000000" w:rsidR="00000000" w:rsidRPr="00000000">
              <w:rPr>
                <w:sz w:val="19"/>
                <w:szCs w:val="19"/>
                <w:rtl w:val="0"/>
              </w:rPr>
              <w:t xml:space="preserve">Ignacio Álvarez — Base de Datos / QA</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sz w:val="19"/>
                <w:szCs w:val="19"/>
                <w:rtl w:val="0"/>
              </w:rPr>
              <w:t xml:space="preserve">Cristóbal Paredes — Base de Datos / Frontend</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sz w:val="19"/>
                <w:szCs w:val="19"/>
                <w:rtl w:val="0"/>
              </w:rPr>
              <w:t xml:space="preserve">Belén Toloza — Jefa de Proyecto / Programación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sz w:val="19"/>
                <w:szCs w:val="19"/>
                <w:rtl w:val="0"/>
              </w:rPr>
              <w:t xml:space="preserve">Institución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sz w:val="19"/>
                <w:szCs w:val="19"/>
                <w:rtl w:val="0"/>
              </w:rPr>
              <w:t xml:space="preserve">Duoc UC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sz w:val="19"/>
                <w:szCs w:val="19"/>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sz w:val="19"/>
                <w:szCs w:val="19"/>
                <w:rtl w:val="0"/>
              </w:rPr>
              <w:t xml:space="preserve">Junio 2026 </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Índice</w:t>
      </w:r>
    </w:p>
    <w:sdt>
      <w:sdtPr>
        <w:id w:val="1345192824"/>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Diagnóstico Final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Matriz de Trazabilidad y Cobertura de Pruebas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Matriz de Casos de Uso (CU-01 a CU-25)</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QA — Módulo Memoria Histórica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QA — Flujo de Validación de Evidencias con IA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Tecnológica y Despliegue Final (Cloud)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Justificación del Stack Tecnológico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Despliegue del Backend en Render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Integración de APIs Críticas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 de Pruebas de Aceptación (QA)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Pruebas Funcionales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Pruebas No Funcionales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 de Trabajo y Entregables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Conclusión y Lecciones Aprendidas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sectPr>
          <w:headerReference r:id="rId7" w:type="default"/>
          <w:footerReference r:id="rId8" w:type="default"/>
          <w:pgSz w:h="15840" w:w="12240" w:orient="portrait"/>
          <w:pgMar w:bottom="1440" w:top="1440" w:left="1440" w:right="1440"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Introducción y Diagnóstico Final</w:t>
      </w:r>
    </w:p>
    <w:p w:rsidR="00000000" w:rsidDel="00000000" w:rsidP="00000000" w:rsidRDefault="00000000" w:rsidRPr="00000000" w14:paraId="00000027">
      <w:pPr>
        <w:spacing w:after="160" w:line="276" w:lineRule="auto"/>
        <w:jc w:val="both"/>
        <w:rPr/>
      </w:pPr>
      <w:r w:rsidDel="00000000" w:rsidR="00000000" w:rsidRPr="00000000">
        <w:rPr>
          <w:rtl w:val="0"/>
        </w:rPr>
        <w:t xml:space="preserve">AffiniScore nace como respuesta a un fenómeno cada vez más frecuente en las relaciones de pareja contemporáneas: la desconexión física producto de la sobreexposición a pantallas y dinámicas digitales individuales. El proyecto propone revertir parcialmente este efecto utilizando la tecnología no como un fin, sino como un puente invisible que incentiva el reencuentro físico, la memoria compartida y la comunicación asistida.</w:t>
      </w:r>
    </w:p>
    <w:p w:rsidR="00000000" w:rsidDel="00000000" w:rsidP="00000000" w:rsidRDefault="00000000" w:rsidRPr="00000000" w14:paraId="00000028">
      <w:pPr>
        <w:spacing w:after="160" w:line="276" w:lineRule="auto"/>
        <w:jc w:val="both"/>
        <w:rPr/>
      </w:pPr>
      <w:r w:rsidDel="00000000" w:rsidR="00000000" w:rsidRPr="00000000">
        <w:rPr>
          <w:rtl w:val="0"/>
        </w:rPr>
        <w:t xml:space="preserve">La propuesta se sostiene sobre tres pilares: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Gamificación afectiva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mecánicas de juego (como el módulo de Memoria Histórica) que transforman recuerdos compartidos en experiencias interactivas medibles.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Inteligencia Artificial aplicada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validación automatizada de evidencias de citas reales mediante visión computacional generativa, y mediación conversacional a través de un terapeuta virtual.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Tecnología invisible</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geolocalización y notificaciones que operan en segundo plano, priorizando la privacidad y la autonomía de cada usuario por sobre la vigilancia.</w:t>
      </w:r>
    </w:p>
    <w:p w:rsidR="00000000" w:rsidDel="00000000" w:rsidP="00000000" w:rsidRDefault="00000000" w:rsidRPr="00000000" w14:paraId="0000002C">
      <w:pPr>
        <w:pStyle w:val="Heading3"/>
        <w:spacing w:after="120" w:before="280" w:lineRule="auto"/>
        <w:rPr/>
      </w:pPr>
      <w:r w:rsidDel="00000000" w:rsidR="00000000" w:rsidRPr="00000000">
        <w:rPr>
          <w:color w:val="1f4e79"/>
          <w:rtl w:val="0"/>
        </w:rPr>
        <w:t xml:space="preserve">Diagnóstico Final del Estado de Avance N°3</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tl w:val="0"/>
        </w:rPr>
        <w:t xml:space="preserve">A la fecha del presente informe, el proyecto AffiniScore se encuentra en su fase de cierre, validación y aseguramiento de calidad. La totalidad de la suite de 25 Casos de Uso (CU-01 a CU-25) ha sido programada, integrada al entorno de producción y sometida a un ciclo formal de pruebas. El backend se encuentra desplegado en infraestructura cloud (Render) y la persistencia de datos opera sobre Supabase con políticas de seguridad a nivel de fila (RLS) activas.</w:t>
      </w:r>
    </w:p>
    <w:p w:rsidR="00000000" w:rsidDel="00000000" w:rsidP="00000000" w:rsidRDefault="00000000" w:rsidRPr="00000000" w14:paraId="0000002E">
      <w:pPr>
        <w:spacing w:after="160" w:line="276" w:lineRule="auto"/>
        <w:jc w:val="both"/>
        <w:rPr/>
      </w:pPr>
      <w:r w:rsidDel="00000000" w:rsidR="00000000" w:rsidRPr="00000000">
        <w:rPr>
          <w:rtl w:val="0"/>
        </w:rPr>
        <w:t xml:space="preserve">Este EA3 documenta, por tanto, no avances incrementales de programación, sino el cierre técnico del proyecto: trazabilidad de pruebas, comportamiento del sistema en condiciones reales de despliegue y lecciones aprendidas de cara a la entrega final.</w:t>
      </w:r>
    </w:p>
    <w:p w:rsidR="00000000" w:rsidDel="00000000" w:rsidP="00000000" w:rsidRDefault="00000000" w:rsidRPr="00000000" w14:paraId="0000002F">
      <w:pPr>
        <w:pStyle w:val="Heading1"/>
        <w:rPr/>
      </w:pPr>
      <w:r w:rsidDel="00000000" w:rsidR="00000000" w:rsidRPr="00000000">
        <w:rPr>
          <w:rtl w:val="0"/>
        </w:rPr>
        <w:t xml:space="preserve">2. Matriz de Trazabilidad y Cobertura de Pruebas</w:t>
      </w:r>
    </w:p>
    <w:p w:rsidR="00000000" w:rsidDel="00000000" w:rsidP="00000000" w:rsidRDefault="00000000" w:rsidRPr="00000000" w14:paraId="00000030">
      <w:pPr>
        <w:pStyle w:val="Heading2"/>
        <w:rPr/>
      </w:pPr>
      <w:r w:rsidDel="00000000" w:rsidR="00000000" w:rsidRPr="00000000">
        <w:rPr>
          <w:rtl w:val="0"/>
        </w:rPr>
        <w:t xml:space="preserve">2.1 Matriz de Casos de Uso (CU-01 a CU-25)</w:t>
      </w:r>
    </w:p>
    <w:p w:rsidR="00000000" w:rsidDel="00000000" w:rsidP="00000000" w:rsidRDefault="00000000" w:rsidRPr="00000000" w14:paraId="00000031">
      <w:pPr>
        <w:spacing w:after="160" w:line="276" w:lineRule="auto"/>
        <w:jc w:val="both"/>
        <w:rPr/>
      </w:pPr>
      <w:r w:rsidDel="00000000" w:rsidR="00000000" w:rsidRPr="00000000">
        <w:rPr>
          <w:rtl w:val="0"/>
        </w:rPr>
        <w:t xml:space="preserve">La siguiente matriz consolida el estado final de implementación y el tipo de prueba aplicada a cada caso de uso, organizados por módulo funcional.</w:t>
      </w:r>
    </w:p>
    <w:p w:rsidR="00000000" w:rsidDel="00000000" w:rsidP="00000000" w:rsidRDefault="00000000" w:rsidRPr="00000000" w14:paraId="00000032">
      <w:pPr>
        <w:pStyle w:val="Heading3"/>
        <w:spacing w:after="120" w:before="240" w:lineRule="auto"/>
        <w:rPr/>
      </w:pPr>
      <w:r w:rsidDel="00000000" w:rsidR="00000000" w:rsidRPr="00000000">
        <w:rPr>
          <w:color w:val="1f4e79"/>
          <w:rtl w:val="0"/>
        </w:rPr>
        <w:t xml:space="preserve">Módulo 1 — Autenticación, Onboarding y Vinculación de Pareja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b w:val="1"/>
                <w:bCs w:val="1"/>
                <w:sz w:val="18"/>
                <w:szCs w:val="18"/>
                <w:rtl w:val="0"/>
              </w:rPr>
              <w:t xml:space="preserve">CU-01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b w:val="0"/>
                <w:bCs w:val="0"/>
                <w:sz w:val="18"/>
                <w:szCs w:val="18"/>
                <w:rtl w:val="0"/>
              </w:rPr>
              <w:t xml:space="preserve">Registro de nuevo usuario con validación de credenciales y correo electrónico.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0"/>
                <w:bCs w:val="0"/>
                <w:sz w:val="18"/>
                <w:szCs w:val="18"/>
                <w:rtl w:val="0"/>
              </w:rPr>
              <w:t xml:space="preserve">Unitarias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b w:val="1"/>
                <w:bCs w:val="1"/>
                <w:sz w:val="18"/>
                <w:szCs w:val="18"/>
                <w:rtl w:val="0"/>
              </w:rPr>
              <w:t xml:space="preserve">CU-02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b w:val="0"/>
                <w:bCs w:val="0"/>
                <w:sz w:val="18"/>
                <w:szCs w:val="18"/>
                <w:rtl w:val="0"/>
              </w:rPr>
              <w:t xml:space="preserve">Inicio de sesión mediante autenticación JWT contra Supabase 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sz w:val="18"/>
                <w:szCs w:val="18"/>
                <w:rtl w:val="0"/>
              </w:rPr>
              <w:t xml:space="preserve">CU-03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b w:val="0"/>
                <w:bCs w:val="0"/>
                <w:sz w:val="18"/>
                <w:szCs w:val="18"/>
                <w:rtl w:val="0"/>
              </w:rPr>
              <w:t xml:space="preserve">Recuperación de contraseña vía enlace de un solo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b w:val="1"/>
                <w:bCs w:val="1"/>
                <w:sz w:val="18"/>
                <w:szCs w:val="18"/>
                <w:rtl w:val="0"/>
              </w:rPr>
              <w:t xml:space="preserve">CU-04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b w:val="0"/>
                <w:bCs w:val="0"/>
                <w:sz w:val="18"/>
                <w:szCs w:val="18"/>
                <w:rtl w:val="0"/>
              </w:rPr>
              <w:t xml:space="preserve">Vinculación de pareja mediante código de invitación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b w:val="1"/>
                <w:bCs w:val="1"/>
                <w:sz w:val="18"/>
                <w:szCs w:val="18"/>
                <w:rtl w:val="0"/>
              </w:rPr>
              <w:t xml:space="preserve">CU-05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b w:val="0"/>
                <w:bCs w:val="0"/>
                <w:sz w:val="18"/>
                <w:szCs w:val="18"/>
                <w:rtl w:val="0"/>
              </w:rPr>
              <w:t xml:space="preserve">Configuración inicial del perfil conjunto de pareja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51">
      <w:pPr>
        <w:pStyle w:val="Heading3"/>
        <w:spacing w:after="120" w:before="240" w:lineRule="auto"/>
        <w:rPr/>
      </w:pPr>
      <w:r w:rsidDel="00000000" w:rsidR="00000000" w:rsidRPr="00000000">
        <w:rPr>
          <w:color w:val="1f4e79"/>
          <w:rtl w:val="0"/>
        </w:rPr>
        <w:t xml:space="preserve">Módulo 2 — Memoria Histórica (Juego)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b w:val="1"/>
                <w:bCs w:val="1"/>
                <w:sz w:val="18"/>
                <w:szCs w:val="18"/>
                <w:rtl w:val="0"/>
              </w:rPr>
              <w:t xml:space="preserve">CU-06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b w:val="0"/>
                <w:bCs w:val="0"/>
                <w:sz w:val="18"/>
                <w:szCs w:val="18"/>
                <w:rtl w:val="0"/>
              </w:rPr>
              <w:t xml:space="preserve">Inicio de partida del juego Memoria Histórica desde el panel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b w:val="1"/>
                <w:bCs w:val="1"/>
                <w:sz w:val="18"/>
                <w:szCs w:val="18"/>
                <w:rtl w:val="0"/>
              </w:rPr>
              <w:t xml:space="preserve">CU-07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b w:val="0"/>
                <w:bCs w:val="0"/>
                <w:sz w:val="18"/>
                <w:szCs w:val="18"/>
                <w:rtl w:val="0"/>
              </w:rPr>
              <w:t xml:space="preserve">Control de temporizador con límite estricto de 180 segundos por partida.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b w:val="0"/>
                <w:bCs w:val="0"/>
                <w:sz w:val="18"/>
                <w:szCs w:val="18"/>
                <w:rtl w:val="0"/>
              </w:rPr>
              <w:t xml:space="preserve">Unitarias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b w:val="1"/>
                <w:bCs w:val="1"/>
                <w:sz w:val="18"/>
                <w:szCs w:val="18"/>
                <w:rtl w:val="0"/>
              </w:rPr>
              <w:t xml:space="preserve">CU-08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b w:val="0"/>
                <w:bCs w:val="0"/>
                <w:sz w:val="18"/>
                <w:szCs w:val="18"/>
                <w:rtl w:val="0"/>
              </w:rPr>
              <w:t xml:space="preserve">Cálculo y registro de puntaje al finalizar la partida.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sz w:val="18"/>
                <w:szCs w:val="18"/>
                <w:rtl w:val="0"/>
              </w:rPr>
              <w:t xml:space="preserve">CU-09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b w:val="0"/>
                <w:bCs w:val="0"/>
                <w:sz w:val="18"/>
                <w:szCs w:val="18"/>
                <w:rtl w:val="0"/>
              </w:rPr>
              <w:t xml:space="preserve">Consulta del historial de partidas jugadas por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6B">
      <w:pPr>
        <w:pStyle w:val="Heading3"/>
        <w:spacing w:after="120" w:before="240" w:lineRule="auto"/>
        <w:rPr/>
      </w:pPr>
      <w:r w:rsidDel="00000000" w:rsidR="00000000" w:rsidRPr="00000000">
        <w:rPr>
          <w:color w:val="1f4e79"/>
          <w:rtl w:val="0"/>
        </w:rPr>
        <w:t xml:space="preserve">Módulo 3 — Retos y Validación con Inteligencia Artificial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b w:val="1"/>
                <w:bCs w:val="1"/>
                <w:sz w:val="18"/>
                <w:szCs w:val="18"/>
                <w:rtl w:val="0"/>
              </w:rPr>
              <w:t xml:space="preserve">CU-10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b w:val="0"/>
                <w:bCs w:val="0"/>
                <w:sz w:val="18"/>
                <w:szCs w:val="18"/>
                <w:rtl w:val="0"/>
              </w:rPr>
              <w:t xml:space="preserve">Asignación periódica de retos (citas/actividades) a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b w:val="0"/>
                <w:bCs w:val="0"/>
                <w:sz w:val="18"/>
                <w:szCs w:val="18"/>
                <w:rtl w:val="0"/>
              </w:rPr>
              <w:t xml:space="preserve">Sistema,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b w:val="1"/>
                <w:bCs w:val="1"/>
                <w:sz w:val="18"/>
                <w:szCs w:val="18"/>
                <w:rtl w:val="0"/>
              </w:rPr>
              <w:t xml:space="preserve">CU-11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b w:val="0"/>
                <w:bCs w:val="0"/>
                <w:sz w:val="18"/>
                <w:szCs w:val="18"/>
                <w:rtl w:val="0"/>
              </w:rPr>
              <w:t xml:space="preserve">Captura y carga de evidencia fotográfica del reto cumplido.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1"/>
                <w:bCs w:val="1"/>
                <w:sz w:val="18"/>
                <w:szCs w:val="18"/>
                <w:rtl w:val="0"/>
              </w:rPr>
              <w:t xml:space="preserve">CU-12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b w:val="0"/>
                <w:bCs w:val="0"/>
                <w:sz w:val="18"/>
                <w:szCs w:val="18"/>
                <w:rtl w:val="0"/>
              </w:rPr>
              <w:t xml:space="preserve">Validación automatizada de la evidencia mediante el endpoint de 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0"/>
                <w:bCs w:val="0"/>
                <w:sz w:val="18"/>
                <w:szCs w:val="18"/>
                <w:rtl w:val="0"/>
              </w:rPr>
              <w:t xml:space="preserve">Sistema, IA (Gemini)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b w:val="1"/>
                <w:bCs w:val="1"/>
                <w:sz w:val="18"/>
                <w:szCs w:val="18"/>
                <w:rtl w:val="0"/>
              </w:rPr>
              <w:t xml:space="preserve">CU-13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b w:val="0"/>
                <w:bCs w:val="0"/>
                <w:sz w:val="18"/>
                <w:szCs w:val="18"/>
                <w:rtl w:val="0"/>
              </w:rPr>
              <w:t xml:space="preserve">Aplicación de reglas de descuento de puntaje ante evidencia no concluyente.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0"/>
                <w:bCs w:val="0"/>
                <w:sz w:val="18"/>
                <w:szCs w:val="18"/>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b w:val="0"/>
                <w:bCs w:val="0"/>
                <w:sz w:val="18"/>
                <w:szCs w:val="18"/>
                <w:rtl w:val="0"/>
              </w:rPr>
              <w:t xml:space="preserve">Unitarias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b w:val="1"/>
                <w:bCs w:val="1"/>
                <w:sz w:val="18"/>
                <w:szCs w:val="18"/>
                <w:rtl w:val="0"/>
              </w:rPr>
              <w:t xml:space="preserve">CU-14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b w:val="0"/>
                <w:bCs w:val="0"/>
                <w:sz w:val="18"/>
                <w:szCs w:val="18"/>
                <w:rtl w:val="0"/>
              </w:rPr>
              <w:t xml:space="preserve">Visualización del historial de retos completados y su puntaje asociado.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8A">
      <w:pPr>
        <w:pStyle w:val="Heading3"/>
        <w:spacing w:after="120" w:before="240" w:lineRule="auto"/>
        <w:rPr/>
      </w:pPr>
      <w:r w:rsidDel="00000000" w:rsidR="00000000" w:rsidRPr="00000000">
        <w:rPr>
          <w:color w:val="1f4e79"/>
          <w:rtl w:val="0"/>
        </w:rPr>
        <w:t xml:space="preserve">Módulo 4 — Geolocalización y S.O.S.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b w:val="1"/>
                <w:bCs w:val="1"/>
                <w:sz w:val="18"/>
                <w:szCs w:val="18"/>
                <w:rtl w:val="0"/>
              </w:rPr>
              <w:t xml:space="preserve">CU-15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b w:val="0"/>
                <w:bCs w:val="0"/>
                <w:sz w:val="18"/>
                <w:szCs w:val="18"/>
                <w:rtl w:val="0"/>
              </w:rPr>
              <w:t xml:space="preserve">Activación de geovalla (geofence) compartida entre ambos miembros.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b w:val="1"/>
                <w:bCs w:val="1"/>
                <w:sz w:val="18"/>
                <w:szCs w:val="18"/>
                <w:rtl w:val="0"/>
              </w:rPr>
              <w:t xml:space="preserve">CU-16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b w:val="0"/>
                <w:bCs w:val="0"/>
                <w:sz w:val="18"/>
                <w:szCs w:val="18"/>
                <w:rtl w:val="0"/>
              </w:rPr>
              <w:t xml:space="preserve">Notificación automática de entrada o salida de zona segura.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0"/>
                <w:bCs w:val="0"/>
                <w:sz w:val="18"/>
                <w:szCs w:val="18"/>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b w:val="1"/>
                <w:bCs w:val="1"/>
                <w:sz w:val="18"/>
                <w:szCs w:val="18"/>
                <w:rtl w:val="0"/>
              </w:rPr>
              <w:t xml:space="preserve">CU-17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b w:val="0"/>
                <w:bCs w:val="0"/>
                <w:sz w:val="18"/>
                <w:szCs w:val="18"/>
                <w:rtl w:val="0"/>
              </w:rPr>
              <w:t xml:space="preserve">Activación de botón de emergencia (S.O.S.) con envío de alerta inmediata.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b w:val="1"/>
                <w:bCs w:val="1"/>
                <w:sz w:val="18"/>
                <w:szCs w:val="18"/>
                <w:rtl w:val="0"/>
              </w:rPr>
              <w:t xml:space="preserve">CU-18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b w:val="0"/>
                <w:bCs w:val="0"/>
                <w:sz w:val="18"/>
                <w:szCs w:val="18"/>
                <w:rtl w:val="0"/>
              </w:rPr>
              <w:t xml:space="preserve">Configuración de privacidad de ubicación mediante interruptores independientes.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b w:val="0"/>
                <w:bCs w:val="0"/>
                <w:sz w:val="18"/>
                <w:szCs w:val="18"/>
                <w:rtl w:val="0"/>
              </w:rPr>
              <w:t xml:space="preserve">Unitarias</w:t>
            </w:r>
            <w:r w:rsidDel="00000000" w:rsidR="00000000" w:rsidRPr="00000000">
              <w:rPr>
                <w:rtl w:val="0"/>
              </w:rPr>
            </w:r>
          </w:p>
        </w:tc>
      </w:tr>
    </w:tbl>
    <w:p w:rsidR="00000000" w:rsidDel="00000000" w:rsidP="00000000" w:rsidRDefault="00000000" w:rsidRPr="00000000" w14:paraId="000000A4">
      <w:pPr>
        <w:pStyle w:val="Heading3"/>
        <w:spacing w:after="120" w:before="240" w:lineRule="auto"/>
        <w:rPr/>
      </w:pPr>
      <w:r w:rsidDel="00000000" w:rsidR="00000000" w:rsidRPr="00000000">
        <w:rPr>
          <w:color w:val="1f4e79"/>
          <w:rtl w:val="0"/>
        </w:rPr>
        <w:t xml:space="preserve">Módulo 5 — Terapeuta IA “Sinclair”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sz w:val="18"/>
                <w:szCs w:val="18"/>
                <w:rtl w:val="0"/>
              </w:rPr>
              <w:t xml:space="preserve">CU-19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b w:val="0"/>
                <w:bCs w:val="0"/>
                <w:sz w:val="18"/>
                <w:szCs w:val="18"/>
                <w:rtl w:val="0"/>
              </w:rPr>
              <w:t xml:space="preserve">Inicio de sesión de mediación conversacional con el agente Sinclair.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b w:val="1"/>
                <w:bCs w:val="1"/>
                <w:sz w:val="18"/>
                <w:szCs w:val="18"/>
                <w:rtl w:val="0"/>
              </w:rPr>
              <w:t xml:space="preserve">CU-20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b w:val="0"/>
                <w:bCs w:val="0"/>
                <w:sz w:val="18"/>
                <w:szCs w:val="18"/>
                <w:rtl w:val="0"/>
              </w:rPr>
              <w:t xml:space="preserve">Generación de orientación conversacional contextualizada para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b w:val="0"/>
                <w:bCs w:val="0"/>
                <w:sz w:val="18"/>
                <w:szCs w:val="18"/>
                <w:rtl w:val="0"/>
              </w:rPr>
              <w:t xml:space="preserve">Sistema, IA (Gemini)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sz w:val="18"/>
                <w:szCs w:val="18"/>
                <w:rtl w:val="0"/>
              </w:rPr>
              <w:t xml:space="preserve">CU-21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b w:val="0"/>
                <w:bCs w:val="0"/>
                <w:sz w:val="18"/>
                <w:szCs w:val="18"/>
                <w:rtl w:val="0"/>
              </w:rPr>
              <w:t xml:space="preserve">Registro y consulta del historial de sesiones de mediación.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B9">
      <w:pPr>
        <w:pStyle w:val="Heading3"/>
        <w:spacing w:after="120" w:before="240" w:lineRule="auto"/>
        <w:rPr/>
      </w:pPr>
      <w:r w:rsidDel="00000000" w:rsidR="00000000" w:rsidRPr="00000000">
        <w:rPr>
          <w:color w:val="1f4e79"/>
          <w:rtl w:val="0"/>
        </w:rPr>
        <w:t xml:space="preserve">Módulo 6 — Notificaciones y Panel Central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sz w:val="18"/>
                <w:szCs w:val="18"/>
                <w:rtl w:val="0"/>
              </w:rPr>
              <w:t xml:space="preserve">CU-22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b w:val="0"/>
                <w:bCs w:val="0"/>
                <w:sz w:val="18"/>
                <w:szCs w:val="18"/>
                <w:rtl w:val="0"/>
              </w:rPr>
              <w:t xml:space="preserve">Envío de notificaciones push ante actividad relevante de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b w:val="0"/>
                <w:bCs w:val="0"/>
                <w:sz w:val="18"/>
                <w:szCs w:val="18"/>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sz w:val="18"/>
                <w:szCs w:val="18"/>
                <w:rtl w:val="0"/>
              </w:rPr>
              <w:t xml:space="preserve">CU-23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b w:val="0"/>
                <w:bCs w:val="0"/>
                <w:sz w:val="18"/>
                <w:szCs w:val="18"/>
                <w:rtl w:val="0"/>
              </w:rPr>
              <w:t xml:space="preserve">Visualización del panel resumen (dashboard) del estado de la relación.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C9">
      <w:pPr>
        <w:pStyle w:val="Heading3"/>
        <w:spacing w:after="120" w:before="240" w:lineRule="auto"/>
        <w:rPr/>
      </w:pPr>
      <w:r w:rsidDel="00000000" w:rsidR="00000000" w:rsidRPr="00000000">
        <w:rPr>
          <w:color w:val="1f4e79"/>
          <w:rtl w:val="0"/>
        </w:rPr>
        <w:t xml:space="preserve">Módulo 7 — Administración de Cuenta y Cierre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sz w:val="18"/>
                <w:szCs w:val="18"/>
                <w:rtl w:val="0"/>
              </w:rPr>
              <w:t xml:space="preserve">CU-24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b w:val="0"/>
                <w:bCs w:val="0"/>
                <w:sz w:val="18"/>
                <w:szCs w:val="18"/>
                <w:rtl w:val="0"/>
              </w:rPr>
              <w:t xml:space="preserve">Edición y eliminación voluntaria de la cuenta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b w:val="1"/>
                <w:bCs w:val="1"/>
                <w:sz w:val="18"/>
                <w:szCs w:val="18"/>
                <w:rtl w:val="0"/>
              </w:rPr>
              <w:t xml:space="preserve">CU-25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b w:val="0"/>
                <w:bCs w:val="0"/>
                <w:sz w:val="18"/>
                <w:szCs w:val="18"/>
                <w:rtl w:val="0"/>
              </w:rPr>
              <w:t xml:space="preserve">Exportación y eliminación de datos personales conforme a privacidad.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b w:val="0"/>
                <w:bCs w:val="0"/>
                <w:sz w:val="18"/>
                <w:szCs w:val="18"/>
                <w:rtl w:val="0"/>
              </w:rPr>
              <w:t xml:space="preserve">Unitarias</w:t>
            </w:r>
            <w:r w:rsidDel="00000000" w:rsidR="00000000" w:rsidRPr="00000000">
              <w:rPr>
                <w:rtl w:val="0"/>
              </w:rPr>
            </w:r>
          </w:p>
        </w:tc>
      </w:tr>
    </w:tbl>
    <w:p w:rsidR="00000000" w:rsidDel="00000000" w:rsidP="00000000" w:rsidRDefault="00000000" w:rsidRPr="00000000" w14:paraId="000000D9">
      <w:pPr>
        <w:spacing w:after="200" w:before="200" w:lineRule="auto"/>
        <w:rPr/>
      </w:pPr>
      <w:r w:rsidDel="00000000" w:rsidR="00000000" w:rsidRPr="00000000">
        <w:rPr>
          <w:b w:val="1"/>
          <w:bCs w:val="1"/>
          <w:rtl w:val="0"/>
        </w:rPr>
        <w:t xml:space="preserve">Resumen de cobertura: </w:t>
      </w:r>
      <w:r w:rsidDel="00000000" w:rsidR="00000000" w:rsidRPr="00000000">
        <w:rPr>
          <w:rtl w:val="0"/>
        </w:rPr>
        <w:t xml:space="preserve">los 25 Casos de Uso definidos en la planificación original alcanzan un 100% de implementación, distribuidos en pruebas unitarias (6), pruebas de integración (10) y pruebas manuales de aceptación (9).</w:t>
      </w:r>
    </w:p>
    <w:p w:rsidR="00000000" w:rsidDel="00000000" w:rsidP="00000000" w:rsidRDefault="00000000" w:rsidRPr="00000000" w14:paraId="000000DA">
      <w:pPr>
        <w:pStyle w:val="Heading2"/>
        <w:rPr/>
      </w:pPr>
      <w:r w:rsidDel="00000000" w:rsidR="00000000" w:rsidRPr="00000000">
        <w:rPr>
          <w:rtl w:val="0"/>
        </w:rPr>
        <w:t xml:space="preserve">2.2 QA — Módulo Memoria Histórica</w:t>
      </w:r>
    </w:p>
    <w:p w:rsidR="00000000" w:rsidDel="00000000" w:rsidP="00000000" w:rsidRDefault="00000000" w:rsidRPr="00000000" w14:paraId="000000DB">
      <w:pPr>
        <w:spacing w:after="160" w:line="276" w:lineRule="auto"/>
        <w:jc w:val="both"/>
        <w:rPr/>
      </w:pPr>
      <w:r w:rsidDel="00000000" w:rsidR="00000000" w:rsidRPr="00000000">
        <w:rPr>
          <w:rtl w:val="0"/>
        </w:rPr>
        <w:t xml:space="preserve">Durante el ciclo de aseguramiento de calidad del EA3 se ejecutó una refactorización completa de la vista del juego Memoria Histórica, orientada a mejorar la inmersión y la consistencia de las reglas de negocio: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Ajuste del temporizador</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se corrigió la lógica de control de tiempo para forzar un máximo estricto de 3 minutos (180 segundos) por partida, eliminando casos previos donde el temporizador podía extenderse por errores de sincronización del estado del componente.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 validó mediante pruebas unitarias que el cierre automático de la partida ocurre exactamente al cumplirse el umbral, sin posibilidad de continuar jugando tras el corte.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Ocultamiento de la barra de navegación inferior</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durante la partida, la barra de navegación (tabs) se oculta automáticamente para favorecer la inmersión visual y evitar que el usuario abandone accidentalmente el juego.</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 verificó que la barra se restituye correctamente al finalizar o abandonar la partida, sin afectar la navegación posterior dentro de la aplicación.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Renovación de la interfaz visual</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se actualizó la paleta de colores, tipografía y animaciones de transición de las cartas, alineando el módulo con el estándar visual premium definido para el resto de la aplicación.</w:t>
      </w:r>
    </w:p>
    <w:p w:rsidR="00000000" w:rsidDel="00000000" w:rsidP="00000000" w:rsidRDefault="00000000" w:rsidRPr="00000000" w14:paraId="000000E1">
      <w:pPr>
        <w:pStyle w:val="Heading2"/>
        <w:rPr/>
      </w:pPr>
      <w:r w:rsidDel="00000000" w:rsidR="00000000" w:rsidRPr="00000000">
        <w:rPr>
          <w:rtl w:val="0"/>
        </w:rPr>
        <w:t xml:space="preserve">2.3 QA — Flujo de Validación de Evidencias con IA</w:t>
      </w:r>
    </w:p>
    <w:p w:rsidR="00000000" w:rsidDel="00000000" w:rsidP="00000000" w:rsidRDefault="00000000" w:rsidRPr="00000000" w14:paraId="000000E2">
      <w:pPr>
        <w:spacing w:after="160" w:line="276" w:lineRule="auto"/>
        <w:jc w:val="both"/>
        <w:rPr/>
      </w:pPr>
      <w:r w:rsidDel="00000000" w:rsidR="00000000" w:rsidRPr="00000000">
        <w:rPr>
          <w:rtl w:val="0"/>
        </w:rPr>
        <w:t xml:space="preserve">El módulo de validación de retos mediante Inteligencia Artificial fue sometido a pruebas de integración extremo a extremo, cubriendo el siguiente flujo:</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Endpoint de validación</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/api/v1/challenges/validate, implementado en FastAPI, recibe la evidencia fotográfica cargada por el usuario junto con los metadatos del reto asociado.</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Análisis mediante IA generativa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el endpoint se conecta con la API de Gemini (modelo gemini-2.5-flash) para analizar de forma automatizada el contenido de la imagen y determinar si corresponde efectivamente a la actividad solicitada por el reto.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Reglas de descuento de puntaje</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cuando la evidencia es evaluada por el modelo como no concluyente, irrelevante o no coincidente con el reto asignado, el sistema aplica un descuento parametrizado sobre el puntaje total de la pareja, registrando el motivo del rechazo para trazabilidad.</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Las pruebas unitarias confirmaron que el descuento se aplica de forma consistente y no afecta retos ya validados previamente.</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Las pruebas de integración confirmaron la correcta persistencia del resultado de la validación (aceptado/rechazado) en la base de datos Supabase.</w:t>
      </w:r>
    </w:p>
    <w:p w:rsidR="00000000" w:rsidDel="00000000" w:rsidP="00000000" w:rsidRDefault="00000000" w:rsidRPr="00000000" w14:paraId="000000E8">
      <w:pPr>
        <w:pStyle w:val="Heading1"/>
        <w:rPr/>
      </w:pPr>
      <w:r w:rsidDel="00000000" w:rsidR="00000000" w:rsidRPr="00000000">
        <w:rPr>
          <w:rtl w:val="0"/>
        </w:rPr>
        <w:t xml:space="preserve">3. Arquitectura Tecnológica y Despliegue Final (Cloud)</w:t>
      </w:r>
    </w:p>
    <w:p w:rsidR="00000000" w:rsidDel="00000000" w:rsidP="00000000" w:rsidRDefault="00000000" w:rsidRPr="00000000" w14:paraId="000000E9">
      <w:pPr>
        <w:pStyle w:val="Heading2"/>
        <w:rPr/>
      </w:pPr>
      <w:r w:rsidDel="00000000" w:rsidR="00000000" w:rsidRPr="00000000">
        <w:rPr>
          <w:rtl w:val="0"/>
        </w:rPr>
        <w:t xml:space="preserve">3.1 Justificación del Stack Tecnológico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b w:val="1"/>
                <w:bCs w:val="1"/>
                <w:color w:val="ffffff"/>
                <w:sz w:val="18"/>
                <w:szCs w:val="18"/>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18"/>
                <w:szCs w:val="18"/>
                <w:rtl w:val="0"/>
              </w:rPr>
              <w:t xml:space="preserve">Tecnología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b w:val="1"/>
                <w:bCs w:val="1"/>
                <w:color w:val="ffffff"/>
                <w:sz w:val="18"/>
                <w:szCs w:val="18"/>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b w:val="1"/>
                <w:bCs w:val="1"/>
                <w:sz w:val="18"/>
                <w:szCs w:val="18"/>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b w:val="0"/>
                <w:bCs w:val="0"/>
                <w:sz w:val="18"/>
                <w:szCs w:val="18"/>
                <w:rtl w:val="0"/>
              </w:rPr>
              <w:t xml:space="preserve">Ionic / Angular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b w:val="0"/>
                <w:bCs w:val="0"/>
                <w:sz w:val="18"/>
                <w:szCs w:val="18"/>
                <w:rtl w:val="0"/>
              </w:rPr>
              <w:t xml:space="preserve">Permite una aplicación móvil híbrida multiplataforma con un único código base, reduciendo tiempos de desarrollo.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b w:val="1"/>
                <w:bCs w:val="1"/>
                <w:sz w:val="18"/>
                <w:szCs w:val="18"/>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b w:val="0"/>
                <w:bCs w:val="0"/>
                <w:sz w:val="18"/>
                <w:szCs w:val="18"/>
                <w:rtl w:val="0"/>
              </w:rPr>
              <w:t xml:space="preserve">FastAPI (Python)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b w:val="0"/>
                <w:bCs w:val="0"/>
                <w:sz w:val="18"/>
                <w:szCs w:val="18"/>
                <w:rtl w:val="0"/>
              </w:rPr>
              <w:t xml:space="preserve">Framework asíncrono de alto rendimiento, idóneo para servicios en tiempo real y orquestación de llamadas a APIs de 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b w:val="1"/>
                <w:bCs w:val="1"/>
                <w:sz w:val="18"/>
                <w:szCs w:val="18"/>
                <w:rtl w:val="0"/>
              </w:rPr>
              <w:t xml:space="preserve">Persistencia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b w:val="0"/>
                <w:bCs w:val="0"/>
                <w:sz w:val="18"/>
                <w:szCs w:val="18"/>
                <w:rtl w:val="0"/>
              </w:rPr>
              <w:t xml:space="preserve">Supabase (PostgreSQL)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b w:val="0"/>
                <w:bCs w:val="0"/>
                <w:sz w:val="18"/>
                <w:szCs w:val="18"/>
                <w:rtl w:val="0"/>
              </w:rPr>
              <w:t xml:space="preserve">Base de datos relacional administrada, con autenticación integrada y políticas de seguridad a nivel de fila.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b w:val="1"/>
                <w:bCs w:val="1"/>
                <w:sz w:val="18"/>
                <w:szCs w:val="18"/>
                <w:rtl w:val="0"/>
              </w:rPr>
              <w:t xml:space="preserve">Seguridad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b w:val="0"/>
                <w:bCs w:val="0"/>
                <w:sz w:val="18"/>
                <w:szCs w:val="18"/>
                <w:rtl w:val="0"/>
              </w:rPr>
              <w:t xml:space="preserve">RLS +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b w:val="0"/>
                <w:bCs w:val="0"/>
                <w:sz w:val="18"/>
                <w:szCs w:val="18"/>
                <w:rtl w:val="0"/>
              </w:rPr>
              <w:t xml:space="preserve">Garantiza que cada usuario solo pueda acceder a los datos correspondientes a su propia relación de pareja.</w:t>
            </w:r>
            <w:r w:rsidDel="00000000" w:rsidR="00000000" w:rsidRPr="00000000">
              <w:rPr>
                <w:rtl w:val="0"/>
              </w:rPr>
            </w:r>
          </w:p>
        </w:tc>
      </w:tr>
    </w:tbl>
    <w:p w:rsidR="00000000" w:rsidDel="00000000" w:rsidP="00000000" w:rsidRDefault="00000000" w:rsidRPr="00000000" w14:paraId="000000F9">
      <w:pPr>
        <w:pStyle w:val="Heading2"/>
        <w:rPr/>
      </w:pPr>
      <w:r w:rsidDel="00000000" w:rsidR="00000000" w:rsidRPr="00000000">
        <w:rPr>
          <w:rtl w:val="0"/>
        </w:rPr>
        <w:t xml:space="preserve">3.2 Despliegue del Backend en Render</w:t>
      </w:r>
    </w:p>
    <w:p w:rsidR="00000000" w:rsidDel="00000000" w:rsidP="00000000" w:rsidRDefault="00000000" w:rsidRPr="00000000" w14:paraId="000000FA">
      <w:pPr>
        <w:spacing w:after="160" w:line="276" w:lineRule="auto"/>
        <w:jc w:val="both"/>
        <w:rPr/>
      </w:pPr>
      <w:r w:rsidDel="00000000" w:rsidR="00000000" w:rsidRPr="00000000">
        <w:rPr>
          <w:rtl w:val="0"/>
        </w:rPr>
        <w:t xml:space="preserve">El servidor backend desarrollado en FastAPI se encuentra desplegado en la nube a través de la plataforma Render, utilizando su capa gratuita (Free Tier).</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Comportamiento de la capa gratuita (Cold Starts)</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bajo esta modalidad, tras un periodo de inactividad el contenedor del servicio es suspendido automáticamente por la plataforma. Como consecuencia, la primera petición realizada después de un periodo sin uso puede tardar aproximadamente 50 segundos en responder, mientras Render reactiva (“despierta”) el contenedor.</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Justificación del despliegue remoto</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alojar el backend en la nube, en lugar de ejecutarlo localmente en el computador de un integrante del equipo, permite que ambos miembros de la pareja utilicen la aplicación móvil híbrida de forma simultánea y desde cualquier ubicación geográfica, garantizando la centralización y persistencia de las solicitudes en tiempo real.</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Alternativa de ejecución local</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para los escenarios de demostración o desarrollo donde se desea evitar la latencia inicial asociada al cold start de Render, el equipo documentó el procedimiento para levantar el backend de forma local:</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160.0" w:type="dxa"/>
              <w:left w:w="200.0" w:type="dxa"/>
              <w:bottom w:w="160.0" w:type="dxa"/>
              <w:right w:w="200.0" w:type="dxa"/>
            </w:tcMar>
          </w:tcPr>
          <w:p w:rsidR="00000000" w:rsidDel="00000000" w:rsidP="00000000" w:rsidRDefault="00000000" w:rsidRPr="00000000" w14:paraId="000000FE">
            <w:pPr>
              <w:spacing w:after="0" w:lineRule="auto"/>
              <w:rPr/>
            </w:pPr>
            <w:r w:rsidDel="00000000" w:rsidR="00000000" w:rsidRPr="00000000">
              <w:rPr>
                <w:rFonts w:ascii="Consolas" w:cs="Consolas" w:eastAsia="Consolas" w:hAnsi="Consolas"/>
                <w:sz w:val="18"/>
                <w:szCs w:val="18"/>
                <w:rtl w:val="0"/>
              </w:rPr>
              <w:t xml:space="preserve">cd producto\app_AffiniScore\backend</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sz w:val="18"/>
                <w:szCs w:val="18"/>
                <w:rtl w:val="0"/>
              </w:rPr>
              <w:t xml:space="preserve">.venv\Scripts\activate.bat</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sz w:val="18"/>
                <w:szCs w:val="18"/>
                <w:rtl w:val="0"/>
              </w:rPr>
              <w:t xml:space="preserve">python -m uvicorn main:app --reload --host 0.0.0.0 --port 8000</w:t>
            </w:r>
            <w:r w:rsidDel="00000000" w:rsidR="00000000" w:rsidRPr="00000000">
              <w:rPr>
                <w:rtl w:val="0"/>
              </w:rPr>
            </w:r>
          </w:p>
        </w:tc>
      </w:tr>
    </w:tbl>
    <w:p w:rsidR="00000000" w:rsidDel="00000000" w:rsidP="00000000" w:rsidRDefault="00000000" w:rsidRPr="00000000" w14:paraId="00000101">
      <w:pPr>
        <w:spacing w:before="20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3.3 Integración de APIs Críticas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Mapbox</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utilizado para la implementación de geovallas (geofences) y la funcionalidad de S.O.S., permitiendo la georreferenciación de la pareja dentro de zonas previamente configuradas.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Gemini (gemini-2.5-flash)</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empleado en dos frentes funcionales del sistema:</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Mediación conversacional del terapeuta virtual Sinclair.</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Validación automatizada de evidencias fotográficas de retos cumplidos.</w:t>
      </w:r>
    </w:p>
    <w:p w:rsidR="00000000" w:rsidDel="00000000" w:rsidP="00000000" w:rsidRDefault="00000000" w:rsidRPr="00000000" w14:paraId="00000107">
      <w:pPr>
        <w:spacing w:after="160" w:line="276" w:lineRule="auto"/>
        <w:jc w:val="both"/>
        <w:rPr/>
      </w:pPr>
      <w:r w:rsidDel="00000000" w:rsidR="00000000" w:rsidRPr="00000000">
        <w:rPr>
          <w:rtl w:val="0"/>
        </w:rPr>
        <w:t xml:space="preserve">Ambas integraciones fueron verificadas en el entorno de producción, confirmando tiempos de respuesta estables una vez que el contenedor del backend se encuentra activo.</w:t>
      </w:r>
    </w:p>
    <w:p w:rsidR="00000000" w:rsidDel="00000000" w:rsidP="00000000" w:rsidRDefault="00000000" w:rsidRPr="00000000" w14:paraId="00000108">
      <w:pPr>
        <w:pStyle w:val="Heading1"/>
        <w:rPr/>
      </w:pPr>
      <w:r w:rsidDel="00000000" w:rsidR="00000000" w:rsidRPr="00000000">
        <w:rPr>
          <w:rtl w:val="0"/>
        </w:rPr>
        <w:t xml:space="preserve">4. Plan de Pruebas de Aceptación (QA)</w:t>
      </w:r>
    </w:p>
    <w:p w:rsidR="00000000" w:rsidDel="00000000" w:rsidP="00000000" w:rsidRDefault="00000000" w:rsidRPr="00000000" w14:paraId="00000109">
      <w:pPr>
        <w:pStyle w:val="Heading2"/>
        <w:rPr/>
      </w:pPr>
      <w:r w:rsidDel="00000000" w:rsidR="00000000" w:rsidRPr="00000000">
        <w:rPr>
          <w:rtl w:val="0"/>
        </w:rPr>
        <w:t xml:space="preserve">4.1 Pruebas Funcionales</w:t>
      </w:r>
    </w:p>
    <w:p w:rsidR="00000000" w:rsidDel="00000000" w:rsidP="00000000" w:rsidRDefault="00000000" w:rsidRPr="00000000" w14:paraId="0000010A">
      <w:pPr>
        <w:spacing w:after="160" w:line="276" w:lineRule="auto"/>
        <w:jc w:val="both"/>
        <w:rPr/>
      </w:pPr>
      <w:r w:rsidDel="00000000" w:rsidR="00000000" w:rsidRPr="00000000">
        <w:rPr>
          <w:rtl w:val="0"/>
        </w:rPr>
        <w:t xml:space="preserve">Se ejecutó un ciclo completo de pruebas funcionales sobre los 25 Casos de Uso descritos en la Sección 2.1, validando flujos principales y alternativos (manejo de errores, evidencias rechazadas, sesiones expiradas) en ambiente de staging previo a la promoción a producción.</w:t>
      </w:r>
    </w:p>
    <w:p w:rsidR="00000000" w:rsidDel="00000000" w:rsidP="00000000" w:rsidRDefault="00000000" w:rsidRPr="00000000" w14:paraId="0000010B">
      <w:pPr>
        <w:pStyle w:val="Heading2"/>
        <w:rPr/>
      </w:pPr>
      <w:r w:rsidDel="00000000" w:rsidR="00000000" w:rsidRPr="00000000">
        <w:rPr>
          <w:rtl w:val="0"/>
        </w:rPr>
        <w:t xml:space="preserve">4.2 Pruebas No Funcionales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b w:val="1"/>
                <w:bCs w:val="1"/>
                <w:color w:val="ffffff"/>
                <w:sz w:val="18"/>
                <w:szCs w:val="18"/>
                <w:rtl w:val="0"/>
              </w:rPr>
              <w:t xml:space="preserve">Resultado Observado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b w:val="1"/>
                <w:bCs w:val="1"/>
                <w:sz w:val="18"/>
                <w:szCs w:val="18"/>
                <w:rtl w:val="0"/>
              </w:rPr>
              <w:t xml:space="preserve">Tiempo de respuesta de IA (backend 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b w:val="0"/>
                <w:bCs w:val="0"/>
                <w:sz w:val="18"/>
                <w:szCs w:val="18"/>
                <w:rtl w:val="0"/>
              </w:rPr>
              <w:t xml:space="preserve">Menor a 5 segundos por solicitud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b w:val="1"/>
                <w:bCs w:val="1"/>
                <w:sz w:val="18"/>
                <w:szCs w:val="18"/>
                <w:rtl w:val="0"/>
              </w:rPr>
              <w:t xml:space="preserve">Latencia inicial por inactividad (Render Free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b w:val="0"/>
                <w:bCs w:val="0"/>
                <w:sz w:val="18"/>
                <w:szCs w:val="18"/>
                <w:rtl w:val="0"/>
              </w:rPr>
              <w:t xml:space="preserve">Aproximadamente 50 segundos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b w:val="1"/>
                <w:bCs w:val="1"/>
                <w:sz w:val="18"/>
                <w:szCs w:val="18"/>
                <w:rtl w:val="0"/>
              </w:rPr>
              <w:t xml:space="preserve">Disponibilidad (uptime) en nube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b w:val="0"/>
                <w:bCs w:val="0"/>
                <w:sz w:val="18"/>
                <w:szCs w:val="18"/>
                <w:rtl w:val="0"/>
              </w:rPr>
              <w:t xml:space="preserve">Estable durante el periodo de pruebas, sujeto a las limitaciones propias de la capa gratuita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b w:val="1"/>
                <w:bCs w:val="1"/>
                <w:sz w:val="18"/>
                <w:szCs w:val="18"/>
                <w:rtl w:val="0"/>
              </w:rPr>
              <w:t xml:space="preserve">Protección de privacidad de 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b w:val="0"/>
                <w:bCs w:val="0"/>
                <w:sz w:val="18"/>
                <w:szCs w:val="18"/>
                <w:rtl w:val="0"/>
              </w:rPr>
              <w:t xml:space="preserve">Interruptores independientes por usuario, verificados de forma individual</w:t>
            </w:r>
            <w:r w:rsidDel="00000000" w:rsidR="00000000" w:rsidRPr="00000000">
              <w:rPr>
                <w:rtl w:val="0"/>
              </w:rPr>
            </w:r>
          </w:p>
        </w:tc>
      </w:tr>
    </w:tbl>
    <w:p w:rsidR="00000000" w:rsidDel="00000000" w:rsidP="00000000" w:rsidRDefault="00000000" w:rsidRPr="00000000" w14:paraId="00000116">
      <w:pPr>
        <w:pStyle w:val="Heading1"/>
        <w:rPr/>
      </w:pPr>
      <w:r w:rsidDel="00000000" w:rsidR="00000000" w:rsidRPr="00000000">
        <w:rPr>
          <w:rtl w:val="0"/>
        </w:rPr>
        <w:t xml:space="preserve">5. Metodología de Trabajo y Entregables</w:t>
      </w:r>
    </w:p>
    <w:p w:rsidR="00000000" w:rsidDel="00000000" w:rsidP="00000000" w:rsidRDefault="00000000" w:rsidRPr="00000000" w14:paraId="00000117">
      <w:pPr>
        <w:spacing w:after="160" w:line="276" w:lineRule="auto"/>
        <w:jc w:val="both"/>
        <w:rPr/>
      </w:pPr>
      <w:r w:rsidDel="00000000" w:rsidR="00000000" w:rsidRPr="00000000">
        <w:rPr>
          <w:rtl w:val="0"/>
        </w:rPr>
        <w:t xml:space="preserve">El equipo mantuvo la gestión del proyecto a través de un repositorio en GitHub, estructurado bajo tres carpetas obligatorias que organizan la totalidad de los artefactos generados durante el semestre: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Gestión</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actas de reunión, minutas, planificación y seguimiento de tareas del equipo.</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Documentación</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informes de avance (EA1, EA2 y el presente EA3), diagramas de arquitectura y especificaciones técnicas.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Producto</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código fuente del frontend (Ionic/Angular) y del backend (FastAPI), incluyendo los scripts de despliegue y configuración del entorno.</w:t>
      </w:r>
    </w:p>
    <w:p w:rsidR="00000000" w:rsidDel="00000000" w:rsidP="00000000" w:rsidRDefault="00000000" w:rsidRPr="00000000" w14:paraId="0000011B">
      <w:pPr>
        <w:spacing w:after="160" w:line="276" w:lineRule="auto"/>
        <w:jc w:val="both"/>
        <w:rPr/>
      </w:pPr>
      <w:r w:rsidDel="00000000" w:rsidR="00000000" w:rsidRPr="00000000">
        <w:rPr>
          <w:rtl w:val="0"/>
        </w:rPr>
        <w:t xml:space="preserve">Esta estructura permitió mantener trazabilidad entre la planificación, la documentación formal y el código entregado, facilitando la revisión por parte del docente y del cliente patrocinador.</w:t>
      </w:r>
    </w:p>
    <w:p w:rsidR="00000000" w:rsidDel="00000000" w:rsidP="00000000" w:rsidRDefault="00000000" w:rsidRPr="00000000" w14:paraId="0000011C">
      <w:pPr>
        <w:pStyle w:val="Heading1"/>
        <w:rPr/>
      </w:pPr>
      <w:r w:rsidDel="00000000" w:rsidR="00000000" w:rsidRPr="00000000">
        <w:rPr>
          <w:rtl w:val="0"/>
        </w:rPr>
        <w:t xml:space="preserve">6. Conclusión y Lecciones Aprendidas</w:t>
      </w:r>
    </w:p>
    <w:p w:rsidR="00000000" w:rsidDel="00000000" w:rsidP="00000000" w:rsidRDefault="00000000" w:rsidRPr="00000000" w14:paraId="0000011D">
      <w:pPr>
        <w:spacing w:after="160" w:line="276" w:lineRule="auto"/>
        <w:jc w:val="both"/>
        <w:rPr/>
      </w:pPr>
      <w:r w:rsidDel="00000000" w:rsidR="00000000" w:rsidRPr="00000000">
        <w:rPr>
          <w:rtl w:val="0"/>
        </w:rPr>
        <w:t xml:space="preserve">El proyecto AffiniScore concluye su tercer y último Estado de Avance con la totalidad de sus funcionalidades implementadas, integradas y validadas mediante un proceso formal de aseguramiento de calidad. El sistema demuestra que es posible articular gamificación, inteligencia artificial y geolocalización de forma coherente en torno a un objetivo afectivo: fortalecer el vínculo físico de una pareja a través de mediación tecnológica discreta.</w:t>
      </w:r>
    </w:p>
    <w:p w:rsidR="00000000" w:rsidDel="00000000" w:rsidP="00000000" w:rsidRDefault="00000000" w:rsidRPr="00000000" w14:paraId="0000011E">
      <w:pPr>
        <w:spacing w:after="160" w:line="276" w:lineRule="auto"/>
        <w:jc w:val="both"/>
        <w:rPr/>
      </w:pPr>
      <w:r w:rsidDel="00000000" w:rsidR="00000000" w:rsidRPr="00000000">
        <w:rPr>
          <w:rtl w:val="0"/>
        </w:rPr>
        <w:t xml:space="preserve">Entre las principales lecciones aprendidas por el equipo destacan: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Gestión de dependencias externas</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trabajar con infraestructura gratuita (Render) exige diseñar la experiencia de usuario considerando latencias variables, en lugar de asumir disponibilidad inmediata del servicio.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Validación con IA generativa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la integración de modelos como Gemini para tareas de verificación de evidencias requiere reglas de negocio claras (umbrales, descuentos) que complementen el criterio del modelo y eviten ambigüedad en la experiencia del usuario.</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Trabajo colaborativo distribuido</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la organización del repositorio en carpetas funcionales (Gestión, Documentación, Producto) resultó clave para coordinar el trabajo simultáneo de los tres integrantes del equipo durante todo el semestre.</w:t>
      </w:r>
    </w:p>
    <w:p w:rsidR="00000000" w:rsidDel="00000000" w:rsidP="00000000" w:rsidRDefault="00000000" w:rsidRPr="00000000" w14:paraId="00000122">
      <w:pPr>
        <w:spacing w:after="160" w:line="276" w:lineRule="auto"/>
        <w:jc w:val="both"/>
        <w:rPr/>
      </w:pPr>
      <w:r w:rsidDel="00000000" w:rsidR="00000000" w:rsidRPr="00000000">
        <w:rPr>
          <w:rtl w:val="0"/>
        </w:rPr>
        <w:t xml:space="preserve">Con el cierre de este informe, el proyecto AffiniScore queda en condiciones de ser presentado como entregable final ante el cliente patrocinador y el cuerpo docente de la asignatura.</w:t>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bottom w:color="bfbfbf" w:space="4" w:sz="4" w:val="single"/>
      </w:pBdr>
      <w:jc w:val="right"/>
      <w:rPr/>
    </w:pPr>
    <w:r w:rsidDel="00000000" w:rsidR="00000000" w:rsidRPr="00000000">
      <w:rPr>
        <w:i w:val="1"/>
        <w:iCs w:val="1"/>
        <w:color w:val="595959"/>
        <w:sz w:val="16"/>
        <w:szCs w:val="16"/>
        <w:rtl w:val="0"/>
      </w:rPr>
      <w:t xml:space="preserve">AffiniScore — Informe EA3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uL72nmaVdJ7ZG634euHhowc0Q==">CgMxLjA4AHIhMUJwb19icUFqcnphZjlZV2tzQWU4alZEb1B6UDN0VTRP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