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142"/>
        <w:tblBorders>
          <w:top w:val="single" w:color="auto" w:sz="4"/>
          <w:left w:val="single" w:color="auto" w:sz="4"/>
          <w:bottom w:val="single" w:color="auto" w:sz="4"/>
          <w:right w:val="single" w:color="auto" w:sz="4"/>
          <w:insideH w:val="single" w:color="auto" w:sz="4"/>
          <w:insideV w:val="single" w:color="auto" w:sz="4"/>
        </w:tblBorders>
      </w:tblPr>
      <w:tblGrid>
        <w:gridCol w:w="5457"/>
        <w:gridCol w:w="3685"/>
      </w:tblGrid>
      <w:tr>
        <w:tc>
          <w:tcPr>
            <w:tcW w:type="dxa" w:w="9142"/>
            <w:gridSpan w:val="2"/>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ACTA DE REUNIÓN</w:t>
            </w:r>
          </w:p>
        </w:tc>
      </w:tr>
      <w:tr>
        <w:tc>
          <w:tcPr>
            <w:tcW w:type="dxa" w:w="545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Comité o Grupo: </w:t>
            </w:r>
          </w:p>
          <w:p>
            <w:pPr>
              <w:jc w:val="left"/>
            </w:pPr>
            <w:r>
              <w:rPr>
                <w:rFonts w:ascii="Times New Roman" w:cs="Times New Roman" w:eastAsia="Times New Roman" w:hAnsi="Times New Roman"/>
                <w:b w:val="false"/>
                <w:bCs w:val="false"/>
                <w:sz w:val="24"/>
                <w:szCs w:val="24"/>
              </w:rPr>
              <w:t xml:space="preserve">Proyecto AffiniScore (Triskeledu)</w:t>
            </w:r>
          </w:p>
        </w:tc>
        <w:tc>
          <w:tcPr>
            <w:tcW w:type="dxa" w:w="3685"/>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Acta No 2</w:t>
            </w:r>
          </w:p>
        </w:tc>
      </w:tr>
      <w:tr>
        <w:tc>
          <w:tcPr>
            <w:tcW w:type="dxa" w:w="545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Citada por: </w:t>
            </w:r>
          </w:p>
          <w:p>
            <w:pPr>
              <w:jc w:val="left"/>
            </w:pPr>
            <w:r>
              <w:rPr>
                <w:rFonts w:ascii="Times New Roman" w:cs="Times New Roman" w:eastAsia="Times New Roman" w:hAnsi="Times New Roman"/>
                <w:b w:val="false"/>
                <w:bCs w:val="false"/>
                <w:sz w:val="24"/>
                <w:szCs w:val="24"/>
              </w:rPr>
              <w:t xml:space="preserve">Cliente (Cristian Gómez)</w:t>
            </w:r>
          </w:p>
        </w:tc>
        <w:tc>
          <w:tcPr>
            <w:tcW w:type="dxa" w:w="3685"/>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Fecha: 19/06/2026</w:t>
            </w:r>
          </w:p>
        </w:tc>
      </w:tr>
      <w:tr>
        <w:tc>
          <w:tcPr>
            <w:tcW w:type="dxa" w:w="545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Coordinador: </w:t>
            </w:r>
          </w:p>
          <w:p>
            <w:pPr>
              <w:jc w:val="left"/>
            </w:pPr>
            <w:r>
              <w:rPr>
                <w:rFonts w:ascii="Times New Roman" w:cs="Times New Roman" w:eastAsia="Times New Roman" w:hAnsi="Times New Roman"/>
                <w:b w:val="false"/>
                <w:bCs w:val="false"/>
                <w:sz w:val="24"/>
                <w:szCs w:val="24"/>
              </w:rPr>
              <w:t xml:space="preserve">Belén Toloza</w:t>
            </w:r>
          </w:p>
        </w:tc>
        <w:tc>
          <w:tcPr>
            <w:tcW w:type="dxa" w:w="3685"/>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Hora inicio: 18:00   Fin: 19:00</w:t>
            </w:r>
          </w:p>
        </w:tc>
      </w:tr>
      <w:tr>
        <w:tc>
          <w:tcPr>
            <w:tcW w:type="dxa" w:w="5457"/>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
            </w:r>
          </w:p>
        </w:tc>
        <w:tc>
          <w:tcPr>
            <w:tcW w:type="dxa" w:w="3685"/>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Lugar: Online (Teams)</w:t>
            </w:r>
          </w:p>
        </w:tc>
      </w:tr>
    </w:tbl>
    <w:p/>
    <w:tbl>
      <w:tblPr>
        <w:tblW w:type="dxa" w:w="9142"/>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000"/>
        <w:gridCol w:w="2542"/>
      </w:tblGrid>
      <w:tr>
        <w:tc>
          <w:tcPr>
            <w:tcW w:type="dxa" w:w="9142"/>
            <w:gridSpan w:val="4"/>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PARTICIPANTES</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No.</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Nombre</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Cargo</w:t>
            </w:r>
          </w:p>
        </w:tc>
        <w:tc>
          <w:tcPr>
            <w:tcW w:type="dxa" w:w="2542"/>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Email</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1</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Cristian Gómez</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Cliente Patrocinador (Triskeledu)</w:t>
            </w:r>
          </w:p>
        </w:tc>
        <w:tc>
          <w:tcPr>
            <w:tcW w:type="dxa" w:w="2542"/>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cri.gomezv@profesor.duoc.cl</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2</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Belén Toloza</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Jefe de Proyecto/Analista Programador</w:t>
            </w:r>
          </w:p>
        </w:tc>
        <w:tc>
          <w:tcPr>
            <w:tcW w:type="dxa" w:w="2542"/>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bel.toloza@duocuc.cl</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3</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Ignacio Álvarez</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Analista Base de Datos/Analista QA</w:t>
            </w:r>
          </w:p>
        </w:tc>
        <w:tc>
          <w:tcPr>
            <w:tcW w:type="dxa" w:w="2542"/>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ign.alvarezc@duocuc.cl</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4</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Cristóbal Paredes</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Analista Base de Datos/Analista Programador</w:t>
            </w:r>
          </w:p>
        </w:tc>
        <w:tc>
          <w:tcPr>
            <w:tcW w:type="dxa" w:w="2542"/>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cr.paredesh@duocuc.cl</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5</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
            </w:r>
          </w:p>
        </w:tc>
        <w:tc>
          <w:tcPr>
            <w:tcW w:type="dxa" w:w="2542"/>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6</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
            </w:r>
          </w:p>
        </w:tc>
        <w:tc>
          <w:tcPr>
            <w:tcW w:type="dxa" w:w="2542"/>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7</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
            </w:r>
          </w:p>
        </w:tc>
        <w:tc>
          <w:tcPr>
            <w:tcW w:type="dxa" w:w="2542"/>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8</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
            </w:r>
          </w:p>
        </w:tc>
        <w:tc>
          <w:tcPr>
            <w:tcW w:type="dxa" w:w="2542"/>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9</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
            </w:r>
          </w:p>
        </w:tc>
        <w:tc>
          <w:tcPr>
            <w:tcW w:type="dxa" w:w="2542"/>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10</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
            </w:r>
          </w:p>
        </w:tc>
        <w:tc>
          <w:tcPr>
            <w:tcW w:type="dxa" w:w="2542"/>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
            </w:r>
          </w:p>
        </w:tc>
      </w:tr>
    </w:tbl>
    <w:p/>
    <w:tbl>
      <w:tblPr>
        <w:tblW w:type="dxa" w:w="9142"/>
        <w:tblBorders>
          <w:top w:val="single" w:color="auto" w:sz="4"/>
          <w:left w:val="single" w:color="auto" w:sz="4"/>
          <w:bottom w:val="single" w:color="auto" w:sz="4"/>
          <w:right w:val="single" w:color="auto" w:sz="4"/>
          <w:insideH w:val="single" w:color="auto" w:sz="4"/>
          <w:insideV w:val="single" w:color="auto" w:sz="4"/>
        </w:tblBorders>
      </w:tblPr>
      <w:tblGrid>
        <w:gridCol w:w="600"/>
        <w:gridCol w:w="8542"/>
      </w:tblGrid>
      <w:tr>
        <w:tc>
          <w:tcPr>
            <w:tcW w:type="dxa" w:w="9142"/>
            <w:gridSpan w:val="2"/>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PUNTOS DE DISCUSIÓN</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1</w:t>
            </w:r>
          </w:p>
        </w:tc>
        <w:tc>
          <w:tcPr>
            <w:tcW w:type="dxa" w:w="8542"/>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Estado de avance del proyecto tras el cambio de arquitectura</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2</w:t>
            </w:r>
          </w:p>
        </w:tc>
        <w:tc>
          <w:tcPr>
            <w:tcW w:type="dxa" w:w="8542"/>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Evaluación de FastAPI como tecnología de backend</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3</w:t>
            </w:r>
          </w:p>
        </w:tc>
        <w:tc>
          <w:tcPr>
            <w:tcW w:type="dxa" w:w="8542"/>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Integración del backend con el módulo de Terapeuta IA (Sinclair)</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4</w:t>
            </w:r>
          </w:p>
        </w:tc>
        <w:tc>
          <w:tcPr>
            <w:tcW w:type="dxa" w:w="8542"/>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Próximos pasos y validación con el cliente</w:t>
            </w:r>
          </w:p>
        </w:tc>
      </w:tr>
    </w:tbl>
    <w:p/>
    <w:tbl>
      <w:tblPr>
        <w:tblW w:type="dxa" w:w="9142"/>
        <w:tblBorders>
          <w:top w:val="single" w:color="auto" w:sz="4"/>
          <w:left w:val="single" w:color="auto" w:sz="4"/>
          <w:bottom w:val="single" w:color="auto" w:sz="4"/>
          <w:right w:val="single" w:color="auto" w:sz="4"/>
          <w:insideH w:val="single" w:color="auto" w:sz="4"/>
          <w:insideV w:val="single" w:color="auto" w:sz="4"/>
        </w:tblBorders>
      </w:tblPr>
      <w:tblGrid>
        <w:gridCol w:w="9142"/>
      </w:tblGrid>
      <w:tr>
        <w:tc>
          <w:tcPr>
            <w:tcW w:type="dxa" w:w="9142"/>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DESARROLLO DE LA REUNIÓN</w:t>
            </w:r>
          </w:p>
        </w:tc>
      </w:tr>
      <w:tr>
        <w:tc>
          <w:tcPr>
            <w:tcW w:type="dxa" w:w="9142"/>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El equipo se reunió con el profesor Cristian Gómez, en su rol de cliente patrocinador del proyecto, con el objetivo de presentar el estado de avance de AffiniScore luego del cambio de arquitectura realizado por el equipo. Se expuso el rediseño de los módulos del sistema y la forma en que se reorganizó la comunicación entre el frontend desarrollado en Flutter y los servicios encargados de la lógica de negocio.</w:t>
            </w:r>
          </w:p>
          <w:p>
            <w:pPr>
              <w:jc w:val="left"/>
            </w:pPr>
            <w:r>
              <w:rPr>
                <w:rFonts w:ascii="Times New Roman" w:cs="Times New Roman" w:eastAsia="Times New Roman" w:hAnsi="Times New Roman"/>
                <w:b w:val="false"/>
                <w:bCs w:val="false"/>
                <w:sz w:val="24"/>
                <w:szCs w:val="24"/>
              </w:rPr>
              <w:t xml:space="preserve"/>
            </w:r>
          </w:p>
          <w:p>
            <w:pPr>
              <w:jc w:val="left"/>
            </w:pPr>
            <w:r>
              <w:rPr>
                <w:rFonts w:ascii="Times New Roman" w:cs="Times New Roman" w:eastAsia="Times New Roman" w:hAnsi="Times New Roman"/>
                <w:b w:val="false"/>
                <w:bCs w:val="false"/>
                <w:sz w:val="24"/>
                <w:szCs w:val="24"/>
              </w:rPr>
              <w:t xml:space="preserve">El profesor Cristian revisó la propuesta y manifestó su conformidad con el nuevo enfoque de arquitectura, considerando que clarifica las responsabilidades de cada componente del sistema. En particular, sugirió que el equipo implemente el backend utilizando FastAPI (Python), señalando que este framework facilitaría de forma más directa y ordenada la integración del módulo de Comunicación y Asistencia, específicamente la conexión con “Sinclair”, la Terapeuta de Pareja IA encargada de mediar el chat privado entre los usuarios y sugerir respuestas empáticas.</w:t>
            </w:r>
          </w:p>
          <w:p>
            <w:pPr>
              <w:jc w:val="left"/>
            </w:pPr>
            <w:r>
              <w:rPr>
                <w:rFonts w:ascii="Times New Roman" w:cs="Times New Roman" w:eastAsia="Times New Roman" w:hAnsi="Times New Roman"/>
                <w:b w:val="false"/>
                <w:bCs w:val="false"/>
                <w:sz w:val="24"/>
                <w:szCs w:val="24"/>
              </w:rPr>
              <w:t xml:space="preserve"/>
            </w:r>
          </w:p>
          <w:p>
            <w:pPr>
              <w:jc w:val="left"/>
            </w:pPr>
            <w:r>
              <w:rPr>
                <w:rFonts w:ascii="Times New Roman" w:cs="Times New Roman" w:eastAsia="Times New Roman" w:hAnsi="Times New Roman"/>
                <w:b w:val="false"/>
                <w:bCs w:val="false"/>
                <w:sz w:val="24"/>
                <w:szCs w:val="24"/>
              </w:rPr>
              <w:t xml:space="preserve">Se conversó además sobre cómo esta decisión beneficia la conexión con las APIs externas de inteligencia artificial (OpenAI/Gemini) usadas para el análisis emocional, dado que FastAPI permite manejar de manera eficiente las solicitudes asíncronas necesarias para este tipo de procesamiento. El equipo quedó conforme con la sugerencia y acordó adoptar FastAPI como tecnología oficial de backend para el resto del proyecto.</w:t>
            </w:r>
          </w:p>
        </w:tc>
      </w:tr>
      <w:tr>
        <w:tc>
          <w:tcPr>
            <w:tcW w:type="dxa" w:w="9142"/>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Observaciones.</w:t>
            </w:r>
          </w:p>
          <w:p>
            <w:pPr>
              <w:jc w:val="left"/>
            </w:pPr>
            <w:r>
              <w:rPr>
                <w:rFonts w:ascii="Times New Roman" w:cs="Times New Roman" w:eastAsia="Times New Roman" w:hAnsi="Times New Roman"/>
                <w:b w:val="false"/>
                <w:bCs w:val="false"/>
                <w:sz w:val="24"/>
                <w:szCs w:val="24"/>
              </w:rPr>
              <w:t xml:space="preserve">No se registraron observaciones adicionales ni imprevistos durante la sesión.</w:t>
            </w:r>
          </w:p>
        </w:tc>
      </w:tr>
    </w:tbl>
    <w:p/>
    <w:tbl>
      <w:tblPr>
        <w:tblW w:type="dxa" w:w="9142"/>
        <w:tblBorders>
          <w:top w:val="single" w:color="auto" w:sz="4"/>
          <w:left w:val="single" w:color="auto" w:sz="4"/>
          <w:bottom w:val="single" w:color="auto" w:sz="4"/>
          <w:right w:val="single" w:color="auto" w:sz="4"/>
          <w:insideH w:val="single" w:color="auto" w:sz="4"/>
          <w:insideV w:val="single" w:color="auto" w:sz="4"/>
        </w:tblBorders>
      </w:tblPr>
      <w:tblGrid>
        <w:gridCol w:w="500"/>
        <w:gridCol w:w="2942"/>
        <w:gridCol w:w="1800"/>
        <w:gridCol w:w="1900"/>
        <w:gridCol w:w="2000"/>
      </w:tblGrid>
      <w:tr>
        <w:tc>
          <w:tcPr>
            <w:tcW w:type="dxa" w:w="9142"/>
            <w:gridSpan w:val="5"/>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CONCLUSIONES</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No</w:t>
            </w:r>
          </w:p>
        </w:tc>
        <w:tc>
          <w:tcPr>
            <w:tcW w:type="dxa" w:w="2942"/>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Tarea</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Responsable</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Período de cumplimiento</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Observaciones</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1</w:t>
            </w:r>
          </w:p>
        </w:tc>
        <w:tc>
          <w:tcPr>
            <w:tcW w:type="dxa" w:w="2942"/>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Iniciar la implementación del backend con FastAPI (Python)</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Cristóbal Paredes</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1 semana</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2</w:t>
            </w:r>
          </w:p>
        </w:tc>
        <w:tc>
          <w:tcPr>
            <w:tcW w:type="dxa" w:w="2942"/>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Diseñar la integración entre FastAPI y el módulo del Terapeuta IA (Sinclair)</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Belén Toloza</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1 semana</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Incluye conexión con API de OpenAI/Gemini</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3</w:t>
            </w:r>
          </w:p>
        </w:tc>
        <w:tc>
          <w:tcPr>
            <w:tcW w:type="dxa" w:w="2942"/>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Validar la conexión de FastAPI con la base de datos Supabase</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Ignacio Álvarez</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1 semana</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
            </w:r>
          </w:p>
        </w:tc>
        <w:tc>
          <w:tcPr>
            <w:tcW w:type="dxa" w:w="2942"/>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
            </w:r>
          </w:p>
        </w:tc>
      </w:tr>
    </w:tbl>
    <w:sectPr>
      <w:pgSz w:w="12242" w:h="15842" w:orient="portrait"/>
      <w:pgMar w:top="1618"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2026-06-20T01:34:20.285Z</dcterms:created>
  <dcterms:modified xsi:type="dcterms:W3CDTF">2026-06-20T01:34:20.285Z</dcterms:modified>
</cp:coreProperties>
</file>

<file path=docProps/custom.xml><?xml version="1.0" encoding="utf-8"?>
<Properties xmlns="http://schemas.openxmlformats.org/officeDocument/2006/custom-properties" xmlns:vt="http://schemas.openxmlformats.org/officeDocument/2006/docPropsVTypes"/>
</file>