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400"/>
      </w:pPr>
      <w:r>
        <w:rPr>
          <w:sz w:val="28"/>
          <w:szCs w:val="28"/>
          <w:b/>
          <w:bCs/>
        </w:rPr>
        <w:t xml:space="preserve">ACTA DE USO DE EXPLOSIVOS</w:t>
      </w:r>
    </w:p>
    <w:p>
      <w:pPr/>
      <w:r>
        <w:rPr/>
        <w:t xml:space="preserve">En el día de la fecha D. FRANCISCO PAVÓN LUQUE, con D.N.I. nº 52.488.371-W como responsable del equipo de trabajo o voladura de la explotación denominada CERRO LÓBREGO, sita en CABRA, y </w:t>
      </w:r>
    </w:p>
    <w:p>
      <w:pPr/>
      <w:r>
        <w:rPr/>
        <w:t xml:space="preserve">D. MANUEL PAVÓN LUQUE, como responsable de la llevanza del Libro-registro de consumo, certifican lo siguiente: </w:t>
      </w:r>
    </w:p>
    <w:p>
      <w:pPr>
        <w:numPr>
          <w:ilvl w:val="0"/>
          <w:numId w:val="2"/>
        </w:numPr>
      </w:pPr>
      <w:r>
        <w:rPr/>
        <w:t xml:space="preserve">Los artilleros que han participado en la voladura son: D. JOSÉ LUIS FERNÁNDEZ SÁNCHEZ (30.207.568-N), D. FRANCISCO PAVÓN LUQUE (52.488.371-W), D. MANUEL PAVÓN LUQUE (48.868.887-M), D. JAVIER PAVÓN ÁLVAREZ (26.972.637-P) y D. VICENTE JESÚS PAVÓN ÁLVAREZ (29.970.124-W). </w:t>
      </w:r>
    </w:p>
    <w:p>
      <w:pPr>
        <w:numPr>
          <w:ilvl w:val="0"/>
          <w:numId w:val="2"/>
        </w:numPr>
      </w:pPr>
      <w:r>
        <w:rPr/>
        <w:t xml:space="preserve">La clasificación de los explosivos utilizados o fabricados in situ es Explosivo tipo Explosivo tipo A(dinamitas), Explosivo tipo B (nafos) y Cordón Detonante Flexible de 12 gr.</w:t>
      </w:r>
    </w:p>
    <w:p>
      <w:pPr>
        <w:numPr>
          <w:ilvl w:val="0"/>
          <w:numId w:val="2"/>
        </w:numPr>
      </w:pPr>
      <w:r>
        <w:rPr/>
        <w:t xml:space="preserve">La cantidad de explosivo fabricado in situ o entregado al artillero para su utilización en la explotación/obra ha sido de 5.648 Kg, 96 detonadores y 375 metros de cordón detonante.correspondientes al/los lote/s nº 170410, 181221, 180309, 180307, 180118, 181113, 190219, 190117, 190115, 181010..</w:t>
      </w:r>
    </w:p>
    <w:p>
      <w:pPr>
        <w:spacing w:before="300"/>
        <w:numPr>
          <w:ilvl w:val="0"/>
          <w:numId w:val="2"/>
        </w:numPr>
      </w:pPr>
      <w:r>
        <w:rPr/>
        <w:t xml:space="preserve">De la cantidad de explosivo entregado se ha consumido 5.648 Kg, 96 detonadores y 375 metros de cordón detonante.</w:t>
      </w:r>
    </w:p>
    <w:p>
      <w:pPr>
        <w:numPr>
          <w:ilvl w:val="0"/>
          <w:numId w:val="2"/>
        </w:numPr>
      </w:pPr>
      <w:r>
        <w:rPr/>
        <w:t xml:space="preserve">La cantidad de explosivo sobrante ha sido de - y -, correspondientes al/los lote/s números -</w:t>
      </w:r>
    </w:p>
    <w:p>
      <w:pPr>
        <w:numPr>
          <w:ilvl w:val="0"/>
          <w:numId w:val="2"/>
        </w:numPr>
      </w:pPr>
      <w:r>
        <w:rPr/>
        <w:t xml:space="preserve">El explosivo sobrante ha sido devuelto al depósito (de productos terminados, de consumo o fábrica de  - denominado - sito en</w:t>
      </w:r>
    </w:p>
    <w:p>
      <w:pPr>
        <w:numPr>
          <w:ilvl w:val="0"/>
          <w:numId w:val="2"/>
        </w:numPr>
      </w:pPr>
      <w:r>
        <w:rPr/>
        <w:t xml:space="preserve">El explosivo sobrante ha sido eliminado según lo establecido en las ITC número 11 y numero 12 y en condiciones de seguridad en consonancia con las disposiciones internas de seguridad de la empresa, en -</w:t>
      </w:r>
    </w:p>
    <w:p>
      <w:pPr>
        <w:numPr>
          <w:ilvl w:val="0"/>
          <w:numId w:val="2"/>
        </w:numPr>
      </w:pPr>
      <w:r>
        <w:rPr/>
        <w:t xml:space="preserve">Personal de Seguridad privada que presta servicio en el consumo de explosivo:</w:t>
      </w:r>
    </w:p>
    <w:p>
      <w:pPr>
        <w:spacing w:before="300" w:after="300"/>
      </w:pPr>
      <w:r>
        <w:rPr/>
        <w:t xml:space="preserve">D. José Juan Sánchez Montanet                                           TIP 844</w:t>
      </w:r>
    </w:p>
    <w:tbl>
      <w:tblGrid>
        <w:gridCol w:w="3050" w:type="dxa"/>
        <w:gridCol w:w="3050" w:type="dxa"/>
        <w:gridCol w:w="3050" w:type="dxa"/>
      </w:tblGrid>
      <w:tr>
        <w:trPr/>
        <w:tc>
          <w:tcPr>
            <w:tcW w:w="3050" w:type="dxa"/>
          </w:tcPr>
          <w:p>
            <w:pPr>
              <w:spacing w:after="1600"/>
            </w:pPr>
            <w:r>
              <w:rPr/>
              <w:t xml:space="preserve">El Responsable de la llevanza del Libro-Registro de consumo</w:t>
            </w:r>
          </w:p>
        </w:tc>
        <w:tc>
          <w:tcPr>
            <w:tcW w:w="3050" w:type="dxa"/>
          </w:tcPr>
          <w:p>
            <w:pPr>
              <w:spacing w:after="1600"/>
            </w:pPr>
            <w:r>
              <w:rPr/>
              <w:t xml:space="preserve">El Responsable del equipo de trabajo o voladura</w:t>
            </w:r>
          </w:p>
        </w:tc>
        <w:tc>
          <w:tcPr>
            <w:tcW w:w="3050" w:type="dxa"/>
          </w:tcPr>
          <w:p>
            <w:pPr>
              <w:spacing w:after="1600"/>
            </w:pPr>
            <w:r>
              <w:rPr/>
              <w:t xml:space="preserve">El Vigilante de Explosivos</w:t>
            </w:r>
          </w:p>
        </w:tc>
      </w:tr>
      <w:tr>
        <w:trPr/>
        <w:tc>
          <w:tcPr>
            <w:tcW w:w="3050" w:type="dxa"/>
          </w:tcPr>
          <w:p>
            <w:pPr/>
            <w:r>
              <w:rPr/>
              <w:t xml:space="preserve">Manuel Pavón Luque</w:t>
            </w:r>
          </w:p>
        </w:tc>
        <w:tc>
          <w:tcPr>
            <w:tcW w:w="3050" w:type="dxa"/>
          </w:tcPr>
          <w:p>
            <w:pPr/>
            <w:r>
              <w:rPr/>
              <w:t xml:space="preserve">Francisco Pavón Luque</w:t>
            </w:r>
          </w:p>
        </w:tc>
        <w:tc>
          <w:tcPr>
            <w:tcW w:w="3050" w:type="dxa"/>
          </w:tcPr>
          <w:p>
            <w:pPr/>
            <w:r>
              <w:rPr/>
              <w:t xml:space="preserve">José Juan Sánchez Montanet</w:t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r>
      <w:trPr/>
      <w:tc>
        <w:tcPr>
          <w:tcW w:w="4500" w:type="dxa"/>
        </w:tcPr>
        <w:p>
          <w:pPr>
            <w:jc w:val="center"/>
          </w:pPr>
          <w:r>
            <w:rPr>
              <w:b/>
              <w:bCs/>
            </w:rPr>
            <w:t xml:space="preserve">Guía nº 108</w:t>
          </w:r>
        </w:p>
      </w:tc>
      <w:tc>
        <w:tcPr>
          <w:tcW w:w="4500" w:type="dxa"/>
        </w:tcPr>
        <w:p>
          <w:pPr>
            <w:jc w:val="center"/>
          </w:pPr>
          <w:r>
            <w:rPr>
              <w:b/>
              <w:bCs/>
            </w:rPr>
            <w:t xml:space="preserve">Asiento nº 217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9FD15F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s-ES"/>
      </w:rPr>
    </w:rPrDefault>
  </w:docDefaults>
  <w:style w:type="paragraph" w:default="1" w:styleId="Normal">
    <w:name w:val="Normal"/>
    <w:pPr>
      <w:spacing w:after="240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2019-05-08T12:29:24+00:00</dcterms:created>
  <dcterms:modified xsi:type="dcterms:W3CDTF">2019-05-08T12:29:24+00:00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