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113125331"/>
        <w:docPartObj>
          <w:docPartGallery w:val="Cover Pages"/>
          <w:docPartUnique/>
        </w:docPartObj>
      </w:sdtPr>
      <w:sdtContent>
        <w:p w14:paraId="61407121" w14:textId="1E8E9417" w:rsidR="00581DF4" w:rsidRDefault="00581DF4">
          <w:r>
            <w:rPr>
              <w:noProof/>
            </w:rPr>
            <mc:AlternateContent>
              <mc:Choice Requires="wpg">
                <w:drawing>
                  <wp:anchor distT="0" distB="0" distL="114300" distR="114300" simplePos="0" relativeHeight="251659264" behindDoc="1" locked="0" layoutInCell="1" allowOverlap="1" wp14:anchorId="0040DB01" wp14:editId="531E6AF0">
                    <wp:simplePos x="0" y="0"/>
                    <wp:positionH relativeFrom="page">
                      <wp:align>center</wp:align>
                    </wp:positionH>
                    <wp:positionV relativeFrom="page">
                      <wp:align>center</wp:align>
                    </wp:positionV>
                    <wp:extent cx="6864824" cy="9123528"/>
                    <wp:effectExtent l="0" t="0" r="2540" b="635"/>
                    <wp:wrapNone/>
                    <wp:docPr id="193" name="Grupo 198"/>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ángulo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ángulo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rPr>
                                    <w:alias w:val="Aut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0A6DBC5B" w14:textId="71EB733A" w:rsidR="00581DF4" w:rsidRDefault="00581DF4">
                                      <w:pPr>
                                        <w:pStyle w:val="Sinespaciado"/>
                                        <w:spacing w:before="120"/>
                                        <w:jc w:val="center"/>
                                        <w:rPr>
                                          <w:color w:val="FFFFFF" w:themeColor="background1"/>
                                        </w:rPr>
                                      </w:pPr>
                                      <w:r>
                                        <w:rPr>
                                          <w:color w:val="FFFFFF" w:themeColor="background1"/>
                                        </w:rPr>
                                        <w:t>Cristóbal Suárez Abad</w:t>
                                      </w:r>
                                    </w:p>
                                  </w:sdtContent>
                                </w:sdt>
                                <w:p w14:paraId="2EDFA71B" w14:textId="30BBE58E" w:rsidR="00581DF4" w:rsidRDefault="00581DF4" w:rsidP="00581DF4">
                                  <w:pPr>
                                    <w:pStyle w:val="Sinespaciado"/>
                                    <w:spacing w:before="120"/>
                                    <w:rPr>
                                      <w:color w:val="FFFFFF" w:themeColor="background1"/>
                                    </w:rPr>
                                  </w:pPr>
                                  <w:sdt>
                                    <w:sdtPr>
                                      <w:rPr>
                                        <w:caps/>
                                        <w:color w:val="FFFFFF" w:themeColor="background1"/>
                                      </w:rPr>
                                      <w:alias w:val="Compañía"/>
                                      <w:tag w:val=""/>
                                      <w:id w:val="1618182777"/>
                                      <w:dataBinding w:prefixMappings="xmlns:ns0='http://schemas.openxmlformats.org/officeDocument/2006/extended-properties' " w:xpath="/ns0:Properties[1]/ns0:Company[1]" w:storeItemID="{6668398D-A668-4E3E-A5EB-62B293D839F1}"/>
                                      <w:text/>
                                    </w:sdtPr>
                                    <w:sdtContent>
                                      <w:r w:rsidRPr="00581DF4">
                                        <w:rPr>
                                          <w:caps/>
                                          <w:color w:val="FFFFFF" w:themeColor="background1"/>
                                        </w:rPr>
                                        <w:t>Proyecto Intermodular de Administración de Sistemas Informáticos en Red</w:t>
                                      </w:r>
                                    </w:sdtContent>
                                  </w:sdt>
                                  <w:r>
                                    <w:rPr>
                                      <w:color w:val="FFFFFF" w:themeColor="background1"/>
                                      <w:lang w:val="es-ES"/>
                                    </w:rPr>
                                    <w:t>  </w:t>
                                  </w:r>
                                  <w:sdt>
                                    <w:sdtPr>
                                      <w:rPr>
                                        <w:color w:val="FFFFFF" w:themeColor="background1"/>
                                      </w:rPr>
                                      <w:alias w:val="Dirección"/>
                                      <w:tag w:val=""/>
                                      <w:id w:val="-253358678"/>
                                      <w:dataBinding w:prefixMappings="xmlns:ns0='http://schemas.microsoft.com/office/2006/coverPageProps' " w:xpath="/ns0:CoverPageProperties[1]/ns0:CompanyAddress[1]" w:storeItemID="{55AF091B-3C7A-41E3-B477-F2FDAA23CFDA}"/>
                                      <w:text/>
                                    </w:sdtPr>
                                    <w:sdtContent>
                                      <w:r>
                                        <w:rPr>
                                          <w:color w:val="FFFFFF" w:themeColor="background1"/>
                                        </w:rPr>
                                        <w:t>2º ASIR</w:t>
                                      </w:r>
                                    </w:sdtContent>
                                  </w:sdt>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Cuadro de texto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156082" w:themeColor="accent1"/>
                                      <w:sz w:val="72"/>
                                      <w:szCs w:val="72"/>
                                    </w:rPr>
                                    <w:alias w:val="Título"/>
                                    <w:tag w:val=""/>
                                    <w:id w:val="-9991715"/>
                                    <w:dataBinding w:prefixMappings="xmlns:ns0='http://purl.org/dc/elements/1.1/' xmlns:ns1='http://schemas.openxmlformats.org/package/2006/metadata/core-properties' " w:xpath="/ns1:coreProperties[1]/ns0:title[1]" w:storeItemID="{6C3C8BC8-F283-45AE-878A-BAB7291924A1}"/>
                                    <w:text/>
                                  </w:sdtPr>
                                  <w:sdtContent>
                                    <w:p w14:paraId="76688AC5" w14:textId="157D0FFE" w:rsidR="00581DF4" w:rsidRDefault="00581DF4">
                                      <w:pPr>
                                        <w:pStyle w:val="Sinespaciado"/>
                                        <w:jc w:val="center"/>
                                        <w:rPr>
                                          <w:rFonts w:asciiTheme="majorHAnsi" w:eastAsiaTheme="majorEastAsia" w:hAnsiTheme="majorHAnsi" w:cstheme="majorBidi"/>
                                          <w:caps/>
                                          <w:color w:val="156082" w:themeColor="accent1"/>
                                          <w:sz w:val="72"/>
                                          <w:szCs w:val="72"/>
                                        </w:rPr>
                                      </w:pPr>
                                      <w:r w:rsidRPr="00581DF4">
                                        <w:rPr>
                                          <w:rFonts w:asciiTheme="majorHAnsi" w:eastAsiaTheme="majorEastAsia" w:hAnsiTheme="majorHAnsi" w:cstheme="majorBidi"/>
                                          <w:caps/>
                                          <w:color w:val="156082" w:themeColor="accent1"/>
                                          <w:sz w:val="72"/>
                                          <w:szCs w:val="72"/>
                                        </w:rPr>
                                        <w:t>Tarea 6</w:t>
                                      </w:r>
                                      <w:r>
                                        <w:rPr>
                                          <w:rFonts w:asciiTheme="majorHAnsi" w:eastAsiaTheme="majorEastAsia" w:hAnsiTheme="majorHAnsi" w:cstheme="majorBidi"/>
                                          <w:caps/>
                                          <w:color w:val="156082" w:themeColor="accent1"/>
                                          <w:sz w:val="72"/>
                                          <w:szCs w:val="72"/>
                                        </w:rPr>
                                        <w:t xml:space="preserve"> -</w:t>
                                      </w:r>
                                      <w:r w:rsidRPr="00581DF4">
                                        <w:rPr>
                                          <w:rFonts w:asciiTheme="majorHAnsi" w:eastAsiaTheme="majorEastAsia" w:hAnsiTheme="majorHAnsi" w:cstheme="majorBidi"/>
                                          <w:caps/>
                                          <w:color w:val="156082" w:themeColor="accent1"/>
                                          <w:sz w:val="72"/>
                                          <w:szCs w:val="72"/>
                                        </w:rPr>
                                        <w:t xml:space="preserve"> Obligaciones fiscales, laborales y de prevención de riesgos para el proyecto</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0040DB01" id="Grupo 198" o:spid="_x0000_s1026" style="position:absolute;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p6BtwMAAMkOAAAOAAAAZHJzL2Uyb0RvYy54bWzsV91u2zYUvh+wdyB4v+jHlmMLUYosXYIB&#10;QRs0HXpNU5QljCI5ko6cvs2eZS+2Q0qUHcdpAxfLNmyAIZPiOYc8nw4/fjx7s2k5umfaNFIUODmJ&#10;MWKCyrIRqwL/8vHqhzlGxhJREi4FK/ADM/jN+fffnXUqZ6msJS+ZRhBEmLxTBa6tVXkUGVqzlpgT&#10;qZiAwUrqlljo6lVUatJB9JZHaRzPok7qUmlJmTHw9m0/iM99/Kpi1L6vKsMs4gWGtVn/1P65dM/o&#10;/IzkK01U3dBhGeSIVbSkETDpGOotsQStdfMkVNtQLY2s7AmVbSSrqqHM5wDZJPFeNtdarpXPZZV3&#10;KzXCBNDu4XR0WPru/lqrO3WrAYlOrQAL33O5bCrdun9YJdp4yB5GyNjGIgovZ/PZdJ5OMaIwtkjS&#10;SZbOe1BpDcg/8aP1T1/xjMLE0aPldAoKxGwxMN+GwV1NFPPQmhwwuNWoKaF+F5CJIC0U6gconT9+&#10;F6s1l8i99vB42xEskxvA7eVIZfM4hhp0SCWT02QGHYg65ktypY29ZrJFrlFgDUvwRUXub4ztTYOJ&#10;m9VI3pRXDee+43YMu+Qa3ROodUIpEzYZJnhkyYWzF9J59kHdG0A75ONb9oEzZ8fFB1YBOPCtU78Y&#10;vzWfTuTXUJOS9fNnkGpIb/TwyfqAzrqC+cfYyZdi96sc7J0r8zt7dI6/7jx6+JmlsKNz2wipDwXg&#10;I3xVbx9A6qFxKC1l+QClo2XPK0bRqwY+3Q0x9pZoIBL43ECO9j08Ki67AsuhhVEt9edD75091DaM&#10;YtQBMRXY/LYmmmHEfxZQ9YtkOnVM5jvT7DSFjt4dWe6OiHV7KaEeEqBhRX3T2VsempWW7Sfg0As3&#10;KwwRQWHuAlOrQ+fS9oQJLEzZxYU3A/ZSxN6IO0VdcIeqK82Pm09Eq6F+LZDEOxl2Gsn3yri3dZ5C&#10;XqytrBpf41tcB7xh1ztqepXtnx3e/tkR238aL6aTQIZbutwhgSxOF3CG/U8CgWD+nSRgN8sNMNS2&#10;bl+XDzwFjIRwOkmyLSOEsR1KAMujOWH5H2SEWWCEyzUptURwwDlec6JgtscKyG5+lHBO+lPXlcMz&#10;8mDmBdNjFQBn2qiLdigiPU3h5xXVX6MTlqtnNAKCw2o2yfqjdV8shBN4kCXbXH3rgHR4wQl9WBe8&#10;wPG1dUH5a4DsWV3gKKEXlKFE/g6lEHZ/LxUG3dBLhTDUE8MwdDQv/MO0gr84wH3Jy83hbucuZLt9&#10;ry22N9DzPwEAAP//AwBQSwMEFAAGAAgAAAAhALTEg7DcAAAABwEAAA8AAABkcnMvZG93bnJldi54&#10;bWxMjzFvwjAQhfdK/AfrKnUrTmgVRSEOqpBgagcIC5uxjyQiPkexgfTf9+jSLqd3eqf3vitXk+vF&#10;DcfQeVKQzhMQSMbbjhoFh3rzmoMIUZPVvSdU8I0BVtXsqdSF9Xfa4W0fG8EhFAqtoI1xKKQMpkWn&#10;w9wPSOyd/eh05HVspB31ncNdLxdJkkmnO+KGVg+4btFc9len4LL7Crje1M3BONNl0+d2caydUi/P&#10;08cSRMQp/h3DA5/RoWKmk7+SDaJXwI/E3/nwkjxNQZxYvb9lOciqlP/5qx8AAAD//wMAUEsBAi0A&#10;FAAGAAgAAAAhALaDOJL+AAAA4QEAABMAAAAAAAAAAAAAAAAAAAAAAFtDb250ZW50X1R5cGVzXS54&#10;bWxQSwECLQAUAAYACAAAACEAOP0h/9YAAACUAQAACwAAAAAAAAAAAAAAAAAvAQAAX3JlbHMvLnJl&#10;bHNQSwECLQAUAAYACAAAACEAxk6egbcDAADJDgAADgAAAAAAAAAAAAAAAAAuAgAAZHJzL2Uyb0Rv&#10;Yy54bWxQSwECLQAUAAYACAAAACEAtMSDsNwAAAAHAQAADwAAAAAAAAAAAAAAAAARBgAAZHJzL2Rv&#10;d25yZXYueG1sUEsFBgAAAAAEAAQA8wAAABoHAAAAAA==&#10;">
                    <v:rect id="Rectángulo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4AdwwAAANwAAAAPAAAAZHJzL2Rvd25yZXYueG1sRE9Na8JA&#10;EL0L/odlBG+6UWzV6CpBKbQFD2oEj0N2TILZ2ZjdavrvuwXB2zze5yzXranEnRpXWlYwGkYgiDOr&#10;S84VpMePwQyE88gaK8uk4JccrFfdzhJjbR+8p/vB5yKEsItRQeF9HUvpsoIMuqGtiQN3sY1BH2CT&#10;S93gI4SbSo6j6F0aLDk0FFjTpqDsevgxCt4Stz8lu+/ka3Lebnd1Oo3S21Spfq9NFiA8tf4lfro/&#10;dZg/n8D/M+ECufoDAAD//wMAUEsBAi0AFAAGAAgAAAAhANvh9svuAAAAhQEAABMAAAAAAAAAAAAA&#10;AAAAAAAAAFtDb250ZW50X1R5cGVzXS54bWxQSwECLQAUAAYACAAAACEAWvQsW78AAAAVAQAACwAA&#10;AAAAAAAAAAAAAAAfAQAAX3JlbHMvLnJlbHNQSwECLQAUAAYACAAAACEAUg+AHcMAAADcAAAADwAA&#10;AAAAAAAAAAAAAAAHAgAAZHJzL2Rvd25yZXYueG1sUEsFBgAAAAADAAMAtwAAAPcCAAAAAA==&#10;" fillcolor="#156082 [3204]" stroked="f" strokeweight="1.5pt"/>
                    <v:rect id="Rectángulo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2KvrwQAAANwAAAAPAAAAZHJzL2Rvd25yZXYueG1sRE9Li8Iw&#10;EL4v+B/CCHtbUwVf1Sg+VlgP4tvz0IxtsZmUJmr33xthYW/z8T1nPK1NIR5UudyygnYrAkGcWJ1z&#10;quB0XH0NQDiPrLGwTAp+ycF00vgYY6ztk/f0OPhUhBB2MSrIvC9jKV2SkUHXsiVx4K62MugDrFKp&#10;K3yGcFPIThT1pMGcQ0OGJS0ySm6Hu1GA23lvV6Tny+Yk+bteS+qvlnelPpv1bATCU+3/xX/uHx3m&#10;D7vwfiZcICcvAAAA//8DAFBLAQItABQABgAIAAAAIQDb4fbL7gAAAIUBAAATAAAAAAAAAAAAAAAA&#10;AAAAAABbQ29udGVudF9UeXBlc10ueG1sUEsBAi0AFAAGAAgAAAAhAFr0LFu/AAAAFQEAAAsAAAAA&#10;AAAAAAAAAAAAHwEAAF9yZWxzLy5yZWxzUEsBAi0AFAAGAAgAAAAhACXYq+vBAAAA3AAAAA8AAAAA&#10;AAAAAAAAAAAABwIAAGRycy9kb3ducmV2LnhtbFBLBQYAAAAAAwADALcAAAD1AgAAAAA=&#10;" fillcolor="#156082 [3204]" stroked="f" strokeweight="1.5pt">
                      <v:textbox inset="36pt,57.6pt,36pt,36pt">
                        <w:txbxContent>
                          <w:sdt>
                            <w:sdtPr>
                              <w:rPr>
                                <w:color w:val="FFFFFF" w:themeColor="background1"/>
                              </w:rPr>
                              <w:alias w:val="Aut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0A6DBC5B" w14:textId="71EB733A" w:rsidR="00581DF4" w:rsidRDefault="00581DF4">
                                <w:pPr>
                                  <w:pStyle w:val="Sinespaciado"/>
                                  <w:spacing w:before="120"/>
                                  <w:jc w:val="center"/>
                                  <w:rPr>
                                    <w:color w:val="FFFFFF" w:themeColor="background1"/>
                                  </w:rPr>
                                </w:pPr>
                                <w:r>
                                  <w:rPr>
                                    <w:color w:val="FFFFFF" w:themeColor="background1"/>
                                  </w:rPr>
                                  <w:t>Cristóbal Suárez Abad</w:t>
                                </w:r>
                              </w:p>
                            </w:sdtContent>
                          </w:sdt>
                          <w:p w14:paraId="2EDFA71B" w14:textId="30BBE58E" w:rsidR="00581DF4" w:rsidRDefault="00581DF4" w:rsidP="00581DF4">
                            <w:pPr>
                              <w:pStyle w:val="Sinespaciado"/>
                              <w:spacing w:before="120"/>
                              <w:rPr>
                                <w:color w:val="FFFFFF" w:themeColor="background1"/>
                              </w:rPr>
                            </w:pPr>
                            <w:sdt>
                              <w:sdtPr>
                                <w:rPr>
                                  <w:caps/>
                                  <w:color w:val="FFFFFF" w:themeColor="background1"/>
                                </w:rPr>
                                <w:alias w:val="Compañía"/>
                                <w:tag w:val=""/>
                                <w:id w:val="1618182777"/>
                                <w:dataBinding w:prefixMappings="xmlns:ns0='http://schemas.openxmlformats.org/officeDocument/2006/extended-properties' " w:xpath="/ns0:Properties[1]/ns0:Company[1]" w:storeItemID="{6668398D-A668-4E3E-A5EB-62B293D839F1}"/>
                                <w:text/>
                              </w:sdtPr>
                              <w:sdtContent>
                                <w:r w:rsidRPr="00581DF4">
                                  <w:rPr>
                                    <w:caps/>
                                    <w:color w:val="FFFFFF" w:themeColor="background1"/>
                                  </w:rPr>
                                  <w:t>Proyecto Intermodular de Administración de Sistemas Informáticos en Red</w:t>
                                </w:r>
                              </w:sdtContent>
                            </w:sdt>
                            <w:r>
                              <w:rPr>
                                <w:color w:val="FFFFFF" w:themeColor="background1"/>
                                <w:lang w:val="es-ES"/>
                              </w:rPr>
                              <w:t>  </w:t>
                            </w:r>
                            <w:sdt>
                              <w:sdtPr>
                                <w:rPr>
                                  <w:color w:val="FFFFFF" w:themeColor="background1"/>
                                </w:rPr>
                                <w:alias w:val="Dirección"/>
                                <w:tag w:val=""/>
                                <w:id w:val="-253358678"/>
                                <w:dataBinding w:prefixMappings="xmlns:ns0='http://schemas.microsoft.com/office/2006/coverPageProps' " w:xpath="/ns0:CoverPageProperties[1]/ns0:CompanyAddress[1]" w:storeItemID="{55AF091B-3C7A-41E3-B477-F2FDAA23CFDA}"/>
                                <w:text/>
                              </w:sdtPr>
                              <w:sdtContent>
                                <w:r>
                                  <w:rPr>
                                    <w:color w:val="FFFFFF" w:themeColor="background1"/>
                                  </w:rPr>
                                  <w:t>2º ASIR</w:t>
                                </w:r>
                              </w:sdtContent>
                            </w:sdt>
                          </w:p>
                        </w:txbxContent>
                      </v:textbox>
                    </v:rect>
                    <v:shapetype id="_x0000_t202" coordsize="21600,21600" o:spt="202" path="m,l,21600r21600,l21600,xe">
                      <v:stroke joinstyle="miter"/>
                      <v:path gradientshapeok="t" o:connecttype="rect"/>
                    </v:shapetype>
                    <v:shape id="Cuadro de texto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asciiTheme="majorHAnsi" w:eastAsiaTheme="majorEastAsia" w:hAnsiTheme="majorHAnsi" w:cstheme="majorBidi"/>
                                <w:caps/>
                                <w:color w:val="156082" w:themeColor="accent1"/>
                                <w:sz w:val="72"/>
                                <w:szCs w:val="72"/>
                              </w:rPr>
                              <w:alias w:val="Título"/>
                              <w:tag w:val=""/>
                              <w:id w:val="-9991715"/>
                              <w:dataBinding w:prefixMappings="xmlns:ns0='http://purl.org/dc/elements/1.1/' xmlns:ns1='http://schemas.openxmlformats.org/package/2006/metadata/core-properties' " w:xpath="/ns1:coreProperties[1]/ns0:title[1]" w:storeItemID="{6C3C8BC8-F283-45AE-878A-BAB7291924A1}"/>
                              <w:text/>
                            </w:sdtPr>
                            <w:sdtContent>
                              <w:p w14:paraId="76688AC5" w14:textId="157D0FFE" w:rsidR="00581DF4" w:rsidRDefault="00581DF4">
                                <w:pPr>
                                  <w:pStyle w:val="Sinespaciado"/>
                                  <w:jc w:val="center"/>
                                  <w:rPr>
                                    <w:rFonts w:asciiTheme="majorHAnsi" w:eastAsiaTheme="majorEastAsia" w:hAnsiTheme="majorHAnsi" w:cstheme="majorBidi"/>
                                    <w:caps/>
                                    <w:color w:val="156082" w:themeColor="accent1"/>
                                    <w:sz w:val="72"/>
                                    <w:szCs w:val="72"/>
                                  </w:rPr>
                                </w:pPr>
                                <w:r w:rsidRPr="00581DF4">
                                  <w:rPr>
                                    <w:rFonts w:asciiTheme="majorHAnsi" w:eastAsiaTheme="majorEastAsia" w:hAnsiTheme="majorHAnsi" w:cstheme="majorBidi"/>
                                    <w:caps/>
                                    <w:color w:val="156082" w:themeColor="accent1"/>
                                    <w:sz w:val="72"/>
                                    <w:szCs w:val="72"/>
                                  </w:rPr>
                                  <w:t>Tarea 6</w:t>
                                </w:r>
                                <w:r>
                                  <w:rPr>
                                    <w:rFonts w:asciiTheme="majorHAnsi" w:eastAsiaTheme="majorEastAsia" w:hAnsiTheme="majorHAnsi" w:cstheme="majorBidi"/>
                                    <w:caps/>
                                    <w:color w:val="156082" w:themeColor="accent1"/>
                                    <w:sz w:val="72"/>
                                    <w:szCs w:val="72"/>
                                  </w:rPr>
                                  <w:t xml:space="preserve"> -</w:t>
                                </w:r>
                                <w:r w:rsidRPr="00581DF4">
                                  <w:rPr>
                                    <w:rFonts w:asciiTheme="majorHAnsi" w:eastAsiaTheme="majorEastAsia" w:hAnsiTheme="majorHAnsi" w:cstheme="majorBidi"/>
                                    <w:caps/>
                                    <w:color w:val="156082" w:themeColor="accent1"/>
                                    <w:sz w:val="72"/>
                                    <w:szCs w:val="72"/>
                                  </w:rPr>
                                  <w:t xml:space="preserve"> Obligaciones fiscales, laborales y de prevención de riesgos para el proyecto</w:t>
                                </w:r>
                              </w:p>
                            </w:sdtContent>
                          </w:sdt>
                        </w:txbxContent>
                      </v:textbox>
                    </v:shape>
                    <w10:wrap anchorx="page" anchory="page"/>
                  </v:group>
                </w:pict>
              </mc:Fallback>
            </mc:AlternateContent>
          </w:r>
        </w:p>
        <w:p w14:paraId="467098D7" w14:textId="1362ECA6" w:rsidR="00581DF4" w:rsidRDefault="00581DF4">
          <w:r>
            <w:br w:type="page"/>
          </w:r>
        </w:p>
      </w:sdtContent>
    </w:sdt>
    <w:sdt>
      <w:sdtPr>
        <w:rPr>
          <w:lang w:val="es-ES"/>
        </w:rPr>
        <w:id w:val="1326241203"/>
        <w:docPartObj>
          <w:docPartGallery w:val="Table of Contents"/>
          <w:docPartUnique/>
        </w:docPartObj>
      </w:sdtPr>
      <w:sdtEndPr>
        <w:rPr>
          <w:rFonts w:asciiTheme="minorHAnsi" w:eastAsiaTheme="minorHAnsi" w:hAnsiTheme="minorHAnsi" w:cstheme="minorBidi"/>
          <w:b/>
          <w:bCs/>
          <w:color w:val="auto"/>
          <w:kern w:val="2"/>
          <w:sz w:val="24"/>
          <w:szCs w:val="24"/>
          <w14:ligatures w14:val="standardContextual"/>
        </w:rPr>
      </w:sdtEndPr>
      <w:sdtContent>
        <w:p w14:paraId="69EAE425" w14:textId="0482C32E" w:rsidR="00581DF4" w:rsidRDefault="00581DF4">
          <w:pPr>
            <w:pStyle w:val="TtuloTDC"/>
          </w:pPr>
          <w:r>
            <w:rPr>
              <w:lang w:val="es-ES"/>
            </w:rPr>
            <w:t>Contenido</w:t>
          </w:r>
        </w:p>
        <w:p w14:paraId="11D80187" w14:textId="7689AE53" w:rsidR="00261940" w:rsidRDefault="00581DF4">
          <w:pPr>
            <w:pStyle w:val="TDC1"/>
            <w:tabs>
              <w:tab w:val="right" w:leader="dot" w:pos="9350"/>
            </w:tabs>
            <w:rPr>
              <w:rFonts w:eastAsiaTheme="minorEastAsia"/>
              <w:noProof/>
              <w:lang w:val="en-US"/>
            </w:rPr>
          </w:pPr>
          <w:r>
            <w:fldChar w:fldCharType="begin"/>
          </w:r>
          <w:r>
            <w:instrText xml:space="preserve"> TOC \o "1-3" \h \z \u </w:instrText>
          </w:r>
          <w:r>
            <w:fldChar w:fldCharType="separate"/>
          </w:r>
          <w:hyperlink w:anchor="_Toc215334574" w:history="1">
            <w:r w:rsidR="00261940" w:rsidRPr="00B026B2">
              <w:rPr>
                <w:rStyle w:val="Hipervnculo"/>
                <w:noProof/>
              </w:rPr>
              <w:t>Resumen del Proyecto y Contexto Empresarial.</w:t>
            </w:r>
            <w:r w:rsidR="00261940">
              <w:rPr>
                <w:noProof/>
                <w:webHidden/>
              </w:rPr>
              <w:tab/>
            </w:r>
            <w:r w:rsidR="00261940">
              <w:rPr>
                <w:noProof/>
                <w:webHidden/>
              </w:rPr>
              <w:fldChar w:fldCharType="begin"/>
            </w:r>
            <w:r w:rsidR="00261940">
              <w:rPr>
                <w:noProof/>
                <w:webHidden/>
              </w:rPr>
              <w:instrText xml:space="preserve"> PAGEREF _Toc215334574 \h </w:instrText>
            </w:r>
            <w:r w:rsidR="00261940">
              <w:rPr>
                <w:noProof/>
                <w:webHidden/>
              </w:rPr>
            </w:r>
            <w:r w:rsidR="00261940">
              <w:rPr>
                <w:noProof/>
                <w:webHidden/>
              </w:rPr>
              <w:fldChar w:fldCharType="separate"/>
            </w:r>
            <w:r w:rsidR="006D1081">
              <w:rPr>
                <w:noProof/>
                <w:webHidden/>
              </w:rPr>
              <w:t>2</w:t>
            </w:r>
            <w:r w:rsidR="00261940">
              <w:rPr>
                <w:noProof/>
                <w:webHidden/>
              </w:rPr>
              <w:fldChar w:fldCharType="end"/>
            </w:r>
          </w:hyperlink>
        </w:p>
        <w:p w14:paraId="26BF6466" w14:textId="084A9BB9" w:rsidR="00261940" w:rsidRDefault="00261940">
          <w:pPr>
            <w:pStyle w:val="TDC1"/>
            <w:tabs>
              <w:tab w:val="left" w:pos="480"/>
              <w:tab w:val="right" w:leader="dot" w:pos="9350"/>
            </w:tabs>
            <w:rPr>
              <w:rFonts w:eastAsiaTheme="minorEastAsia"/>
              <w:noProof/>
              <w:lang w:val="en-US"/>
            </w:rPr>
          </w:pPr>
          <w:hyperlink w:anchor="_Toc215334575" w:history="1">
            <w:r w:rsidRPr="00B026B2">
              <w:rPr>
                <w:rStyle w:val="Hipervnculo"/>
                <w:noProof/>
                <w:lang w:val="en-US"/>
              </w:rPr>
              <w:t>1.</w:t>
            </w:r>
            <w:r>
              <w:rPr>
                <w:rFonts w:eastAsiaTheme="minorEastAsia"/>
                <w:noProof/>
                <w:lang w:val="en-US"/>
              </w:rPr>
              <w:tab/>
            </w:r>
            <w:r w:rsidRPr="00B026B2">
              <w:rPr>
                <w:rStyle w:val="Hipervnculo"/>
                <w:noProof/>
                <w:lang w:val="en-US"/>
              </w:rPr>
              <w:t>Obligaciones fiscales.</w:t>
            </w:r>
            <w:r>
              <w:rPr>
                <w:noProof/>
                <w:webHidden/>
              </w:rPr>
              <w:tab/>
            </w:r>
            <w:r>
              <w:rPr>
                <w:noProof/>
                <w:webHidden/>
              </w:rPr>
              <w:fldChar w:fldCharType="begin"/>
            </w:r>
            <w:r>
              <w:rPr>
                <w:noProof/>
                <w:webHidden/>
              </w:rPr>
              <w:instrText xml:space="preserve"> PAGEREF _Toc215334575 \h </w:instrText>
            </w:r>
            <w:r>
              <w:rPr>
                <w:noProof/>
                <w:webHidden/>
              </w:rPr>
            </w:r>
            <w:r>
              <w:rPr>
                <w:noProof/>
                <w:webHidden/>
              </w:rPr>
              <w:fldChar w:fldCharType="separate"/>
            </w:r>
            <w:r w:rsidR="006D1081">
              <w:rPr>
                <w:noProof/>
                <w:webHidden/>
              </w:rPr>
              <w:t>3</w:t>
            </w:r>
            <w:r>
              <w:rPr>
                <w:noProof/>
                <w:webHidden/>
              </w:rPr>
              <w:fldChar w:fldCharType="end"/>
            </w:r>
          </w:hyperlink>
        </w:p>
        <w:p w14:paraId="177B540E" w14:textId="3722C041" w:rsidR="00261940" w:rsidRDefault="00261940">
          <w:pPr>
            <w:pStyle w:val="TDC1"/>
            <w:tabs>
              <w:tab w:val="left" w:pos="480"/>
              <w:tab w:val="right" w:leader="dot" w:pos="9350"/>
            </w:tabs>
            <w:rPr>
              <w:rFonts w:eastAsiaTheme="minorEastAsia"/>
              <w:noProof/>
              <w:lang w:val="en-US"/>
            </w:rPr>
          </w:pPr>
          <w:hyperlink w:anchor="_Toc215334576" w:history="1">
            <w:r w:rsidRPr="00B026B2">
              <w:rPr>
                <w:rStyle w:val="Hipervnculo"/>
                <w:noProof/>
                <w:lang w:val="en-US"/>
              </w:rPr>
              <w:t>2.</w:t>
            </w:r>
            <w:r>
              <w:rPr>
                <w:rFonts w:eastAsiaTheme="minorEastAsia"/>
                <w:noProof/>
                <w:lang w:val="en-US"/>
              </w:rPr>
              <w:tab/>
            </w:r>
            <w:r w:rsidRPr="00B026B2">
              <w:rPr>
                <w:rStyle w:val="Hipervnculo"/>
                <w:noProof/>
                <w:lang w:val="en-US"/>
              </w:rPr>
              <w:t>Obligaciones laborales.</w:t>
            </w:r>
            <w:r>
              <w:rPr>
                <w:noProof/>
                <w:webHidden/>
              </w:rPr>
              <w:tab/>
            </w:r>
            <w:r>
              <w:rPr>
                <w:noProof/>
                <w:webHidden/>
              </w:rPr>
              <w:fldChar w:fldCharType="begin"/>
            </w:r>
            <w:r>
              <w:rPr>
                <w:noProof/>
                <w:webHidden/>
              </w:rPr>
              <w:instrText xml:space="preserve"> PAGEREF _Toc215334576 \h </w:instrText>
            </w:r>
            <w:r>
              <w:rPr>
                <w:noProof/>
                <w:webHidden/>
              </w:rPr>
            </w:r>
            <w:r>
              <w:rPr>
                <w:noProof/>
                <w:webHidden/>
              </w:rPr>
              <w:fldChar w:fldCharType="separate"/>
            </w:r>
            <w:r w:rsidR="006D1081">
              <w:rPr>
                <w:noProof/>
                <w:webHidden/>
              </w:rPr>
              <w:t>5</w:t>
            </w:r>
            <w:r>
              <w:rPr>
                <w:noProof/>
                <w:webHidden/>
              </w:rPr>
              <w:fldChar w:fldCharType="end"/>
            </w:r>
          </w:hyperlink>
        </w:p>
        <w:p w14:paraId="71545CFF" w14:textId="7B4D96C5" w:rsidR="00261940" w:rsidRDefault="00261940">
          <w:pPr>
            <w:pStyle w:val="TDC1"/>
            <w:tabs>
              <w:tab w:val="left" w:pos="480"/>
              <w:tab w:val="right" w:leader="dot" w:pos="9350"/>
            </w:tabs>
            <w:rPr>
              <w:rFonts w:eastAsiaTheme="minorEastAsia"/>
              <w:noProof/>
              <w:lang w:val="en-US"/>
            </w:rPr>
          </w:pPr>
          <w:hyperlink w:anchor="_Toc215334577" w:history="1">
            <w:r w:rsidRPr="00B026B2">
              <w:rPr>
                <w:rStyle w:val="Hipervnculo"/>
                <w:noProof/>
                <w:lang w:val="en-US"/>
              </w:rPr>
              <w:t>3.</w:t>
            </w:r>
            <w:r>
              <w:rPr>
                <w:rFonts w:eastAsiaTheme="minorEastAsia"/>
                <w:noProof/>
                <w:lang w:val="en-US"/>
              </w:rPr>
              <w:tab/>
            </w:r>
            <w:r w:rsidRPr="00B026B2">
              <w:rPr>
                <w:rStyle w:val="Hipervnculo"/>
                <w:noProof/>
                <w:lang w:val="en-US"/>
              </w:rPr>
              <w:t>Prevención de Riesgos Laborales.</w:t>
            </w:r>
            <w:r>
              <w:rPr>
                <w:noProof/>
                <w:webHidden/>
              </w:rPr>
              <w:tab/>
            </w:r>
            <w:r>
              <w:rPr>
                <w:noProof/>
                <w:webHidden/>
              </w:rPr>
              <w:fldChar w:fldCharType="begin"/>
            </w:r>
            <w:r>
              <w:rPr>
                <w:noProof/>
                <w:webHidden/>
              </w:rPr>
              <w:instrText xml:space="preserve"> PAGEREF _Toc215334577 \h </w:instrText>
            </w:r>
            <w:r>
              <w:rPr>
                <w:noProof/>
                <w:webHidden/>
              </w:rPr>
            </w:r>
            <w:r>
              <w:rPr>
                <w:noProof/>
                <w:webHidden/>
              </w:rPr>
              <w:fldChar w:fldCharType="separate"/>
            </w:r>
            <w:r w:rsidR="006D1081">
              <w:rPr>
                <w:noProof/>
                <w:webHidden/>
              </w:rPr>
              <w:t>8</w:t>
            </w:r>
            <w:r>
              <w:rPr>
                <w:noProof/>
                <w:webHidden/>
              </w:rPr>
              <w:fldChar w:fldCharType="end"/>
            </w:r>
          </w:hyperlink>
        </w:p>
        <w:p w14:paraId="733F3C5A" w14:textId="4C80A084" w:rsidR="00581DF4" w:rsidRDefault="00581DF4">
          <w:r>
            <w:rPr>
              <w:b/>
              <w:bCs/>
            </w:rPr>
            <w:fldChar w:fldCharType="end"/>
          </w:r>
        </w:p>
      </w:sdtContent>
    </w:sdt>
    <w:p w14:paraId="56146ECF" w14:textId="77777777" w:rsidR="00581DF4" w:rsidRDefault="00581DF4">
      <w:pPr>
        <w:sectPr w:rsidR="00581DF4" w:rsidSect="001F29F9">
          <w:headerReference w:type="default" r:id="rId9"/>
          <w:headerReference w:type="first" r:id="rId10"/>
          <w:pgSz w:w="12240" w:h="15840"/>
          <w:pgMar w:top="1440" w:right="1440" w:bottom="1440" w:left="1440" w:header="708" w:footer="708" w:gutter="0"/>
          <w:pgNumType w:start="0"/>
          <w:cols w:space="708"/>
          <w:titlePg/>
          <w:docGrid w:linePitch="360"/>
        </w:sectPr>
      </w:pPr>
    </w:p>
    <w:p w14:paraId="508F446D" w14:textId="69DAE3CF" w:rsidR="0027578B" w:rsidRDefault="00581DF4" w:rsidP="00581DF4">
      <w:pPr>
        <w:pStyle w:val="Ttulo1"/>
      </w:pPr>
      <w:bookmarkStart w:id="0" w:name="_Toc215334574"/>
      <w:r w:rsidRPr="00581DF4">
        <w:lastRenderedPageBreak/>
        <w:t>Resumen del Proyecto y Contexto Empresarial</w:t>
      </w:r>
      <w:r>
        <w:t>.</w:t>
      </w:r>
      <w:bookmarkEnd w:id="0"/>
    </w:p>
    <w:p w14:paraId="3DA9BD25" w14:textId="0748299F" w:rsidR="00581DF4" w:rsidRPr="00581DF4" w:rsidRDefault="00581DF4" w:rsidP="00581DF4">
      <w:r w:rsidRPr="00581DF4">
        <w:t xml:space="preserve">El proyecto </w:t>
      </w:r>
      <w:r w:rsidRPr="00581DF4">
        <w:rPr>
          <w:b/>
          <w:bCs/>
        </w:rPr>
        <w:t>"Solución de captura y despliegue de sistemas operativos en múltiples equipos basado en FOG Project"</w:t>
      </w:r>
      <w:r w:rsidRPr="00581DF4">
        <w:t xml:space="preserve"> busca automatizar y estandarizar la instalación de Sistemas Operativos en entornos con numerosos equipos (educativos/empresariales), utilizando la plataforma de software libre </w:t>
      </w:r>
      <w:r w:rsidRPr="00581DF4">
        <w:rPr>
          <w:b/>
          <w:bCs/>
        </w:rPr>
        <w:t>FOG Project</w:t>
      </w:r>
      <w:r w:rsidRPr="00DE0363">
        <w:rPr>
          <w:b/>
          <w:bCs/>
        </w:rPr>
        <w:t xml:space="preserve"> </w:t>
      </w:r>
      <w:r w:rsidRPr="00DE0363">
        <w:t>como software principal desde la que se basa</w:t>
      </w:r>
      <w:r w:rsidRPr="00581DF4">
        <w:t>.</w:t>
      </w:r>
    </w:p>
    <w:p w14:paraId="16505DE3" w14:textId="77777777" w:rsidR="00635E47" w:rsidRDefault="00581DF4" w:rsidP="00581DF4">
      <w:r w:rsidRPr="00581DF4">
        <w:t xml:space="preserve">Para responder a los requisitos de la tarea, asumiremos la forma jurídica de una </w:t>
      </w:r>
      <w:r w:rsidRPr="00581DF4">
        <w:rPr>
          <w:b/>
          <w:bCs/>
        </w:rPr>
        <w:t>Sociedad Limitada (S.L.)</w:t>
      </w:r>
      <w:r w:rsidRPr="00581DF4">
        <w:t xml:space="preserve"> con </w:t>
      </w:r>
      <w:r w:rsidR="00DE0363">
        <w:t xml:space="preserve">varios </w:t>
      </w:r>
      <w:r w:rsidRPr="00581DF4">
        <w:t xml:space="preserve">empleados. Esta forma jurídica es la más común para </w:t>
      </w:r>
      <w:r w:rsidR="00AB0F96">
        <w:t>empresas</w:t>
      </w:r>
      <w:r w:rsidRPr="00581DF4">
        <w:t xml:space="preserve"> que buscan limitar la responsabilidad de sus socios y que tienen potencial de crecimiento.</w:t>
      </w:r>
    </w:p>
    <w:p w14:paraId="0D1A74DB" w14:textId="5701A396" w:rsidR="00BA4101" w:rsidRDefault="00BA4101" w:rsidP="00BA4101">
      <w:pPr>
        <w:jc w:val="center"/>
        <w:sectPr w:rsidR="00BA4101" w:rsidSect="001F29F9">
          <w:pgSz w:w="12240" w:h="15840"/>
          <w:pgMar w:top="1440" w:right="1440" w:bottom="1440" w:left="1440" w:header="708" w:footer="708" w:gutter="0"/>
          <w:cols w:space="708"/>
          <w:titlePg/>
          <w:docGrid w:linePitch="360"/>
        </w:sectPr>
      </w:pPr>
      <w:r>
        <w:t>“</w:t>
      </w:r>
      <w:r w:rsidRPr="00BA4101">
        <w:rPr>
          <w:i/>
          <w:iCs/>
        </w:rPr>
        <w:t xml:space="preserve">es el tipo de </w:t>
      </w:r>
      <w:r w:rsidRPr="00BA4101">
        <w:rPr>
          <w:b/>
          <w:bCs/>
          <w:i/>
          <w:iCs/>
        </w:rPr>
        <w:t>sociedad mercantil</w:t>
      </w:r>
      <w:r w:rsidRPr="00BA4101">
        <w:rPr>
          <w:i/>
          <w:iCs/>
        </w:rPr>
        <w:t xml:space="preserve"> más extendido en España, siendo muy utilizada por pequeños empresarios autónomos que de esta forma limitan su responsabilidad al capital aportado, evitando responder con su patrimonio personal ante las deudas de sus negocios.</w:t>
      </w:r>
      <w:r>
        <w:t>”</w:t>
      </w:r>
      <w:r>
        <w:rPr>
          <w:rStyle w:val="Refdenotaalpie"/>
        </w:rPr>
        <w:footnoteReference w:id="1"/>
      </w:r>
    </w:p>
    <w:p w14:paraId="49FBCAF5" w14:textId="38ED44FA" w:rsidR="002142DA" w:rsidRDefault="002142DA" w:rsidP="002142DA">
      <w:pPr>
        <w:pStyle w:val="Ttulo1"/>
        <w:numPr>
          <w:ilvl w:val="0"/>
          <w:numId w:val="1"/>
        </w:numPr>
        <w:rPr>
          <w:lang w:val="en-US"/>
        </w:rPr>
      </w:pPr>
      <w:bookmarkStart w:id="1" w:name="_Toc215334575"/>
      <w:proofErr w:type="spellStart"/>
      <w:r w:rsidRPr="002142DA">
        <w:rPr>
          <w:lang w:val="en-US"/>
        </w:rPr>
        <w:lastRenderedPageBreak/>
        <w:t>Obligaciones</w:t>
      </w:r>
      <w:proofErr w:type="spellEnd"/>
      <w:r w:rsidRPr="002142DA">
        <w:rPr>
          <w:lang w:val="en-US"/>
        </w:rPr>
        <w:t xml:space="preserve"> </w:t>
      </w:r>
      <w:proofErr w:type="spellStart"/>
      <w:r w:rsidRPr="002142DA">
        <w:rPr>
          <w:lang w:val="en-US"/>
        </w:rPr>
        <w:t>fiscales</w:t>
      </w:r>
      <w:proofErr w:type="spellEnd"/>
      <w:r>
        <w:rPr>
          <w:lang w:val="en-US"/>
        </w:rPr>
        <w:t>.</w:t>
      </w:r>
      <w:bookmarkEnd w:id="1"/>
    </w:p>
    <w:p w14:paraId="109B8295" w14:textId="566A7255" w:rsidR="002142DA" w:rsidRPr="00602646" w:rsidRDefault="00602646" w:rsidP="00602646">
      <w:pPr>
        <w:pStyle w:val="Prrafodelista"/>
        <w:numPr>
          <w:ilvl w:val="0"/>
          <w:numId w:val="2"/>
        </w:numPr>
        <w:rPr>
          <w:i/>
          <w:iCs/>
        </w:rPr>
      </w:pPr>
      <w:r w:rsidRPr="00602646">
        <w:rPr>
          <w:i/>
          <w:iCs/>
        </w:rPr>
        <w:t>Identifica los impuestos principales que debería gestionar tu empresa, por ejemplo: IVA, Impuesto de Sociedades o IRPF en estimación directa.</w:t>
      </w:r>
    </w:p>
    <w:p w14:paraId="248987BE" w14:textId="78D6FE58" w:rsidR="00602646" w:rsidRPr="00602646" w:rsidRDefault="00602646" w:rsidP="00602646">
      <w:r w:rsidRPr="00602646">
        <w:t>Una Sociedad Limitada está obligada a tributar los siguientes impuestos</w:t>
      </w:r>
      <w:r>
        <w:rPr>
          <w:rStyle w:val="Refdenotaalpie"/>
        </w:rPr>
        <w:footnoteReference w:id="2"/>
      </w:r>
      <w:r w:rsidRPr="00602646">
        <w:t>:</w:t>
      </w:r>
    </w:p>
    <w:p w14:paraId="16535031" w14:textId="4EECEFD8" w:rsidR="008331F8" w:rsidRPr="008331F8" w:rsidRDefault="00602646" w:rsidP="008331F8">
      <w:pPr>
        <w:pStyle w:val="Prrafodelista"/>
        <w:numPr>
          <w:ilvl w:val="0"/>
          <w:numId w:val="5"/>
        </w:numPr>
        <w:rPr>
          <w:i/>
          <w:iCs/>
        </w:rPr>
      </w:pPr>
      <w:r w:rsidRPr="008331F8">
        <w:rPr>
          <w:b/>
          <w:bCs/>
        </w:rPr>
        <w:t>Impuesto sobre Sociedades (IS):</w:t>
      </w:r>
      <w:r w:rsidRPr="00602646">
        <w:t xml:space="preserve"> Grava los beneficios obtenidos por la sociedad.</w:t>
      </w:r>
      <w:r>
        <w:t xml:space="preserve"> </w:t>
      </w:r>
      <w:r w:rsidRPr="008331F8">
        <w:rPr>
          <w:b/>
          <w:bCs/>
        </w:rPr>
        <w:t>G</w:t>
      </w:r>
      <w:r w:rsidRPr="008331F8">
        <w:rPr>
          <w:b/>
          <w:bCs/>
        </w:rPr>
        <w:t>rava los beneficios de un periodo determinado</w:t>
      </w:r>
      <w:r w:rsidRPr="00602646">
        <w:t xml:space="preserve"> (máximo un año, que no tiene que </w:t>
      </w:r>
      <w:r w:rsidRPr="008331F8">
        <w:t xml:space="preserve">coincidir con el año natural). Es decir, sus ganancias </w:t>
      </w:r>
      <w:r w:rsidRPr="00782614">
        <w:rPr>
          <w:b/>
          <w:bCs/>
        </w:rPr>
        <w:t>una vez quitado el IVA y otros impuestos y deducciones</w:t>
      </w:r>
      <w:r w:rsidRPr="008331F8">
        <w:t>.</w:t>
      </w:r>
      <w:r w:rsidR="008331F8" w:rsidRPr="008331F8">
        <w:t xml:space="preserve"> El porcentaje que </w:t>
      </w:r>
      <w:r w:rsidR="008331F8">
        <w:t xml:space="preserve">se </w:t>
      </w:r>
      <w:r w:rsidR="008331F8" w:rsidRPr="008331F8">
        <w:t>paga varia (</w:t>
      </w:r>
      <w:r w:rsidR="008331F8" w:rsidRPr="008331F8">
        <w:rPr>
          <w:i/>
          <w:iCs/>
        </w:rPr>
        <w:t>e</w:t>
      </w:r>
      <w:r w:rsidR="008331F8" w:rsidRPr="008331F8">
        <w:rPr>
          <w:i/>
          <w:iCs/>
        </w:rPr>
        <w:t xml:space="preserve">n 2025, las empresas de nueva creación tributan al 15 %. Las cooperativas al 20 % (si son cooperativas de crédito o cajas rurales, al 25 %).  Y </w:t>
      </w:r>
      <w:r w:rsidR="008331F8" w:rsidRPr="008331F8">
        <w:rPr>
          <w:i/>
          <w:iCs/>
        </w:rPr>
        <w:t>las entidades</w:t>
      </w:r>
      <w:r w:rsidR="008331F8" w:rsidRPr="008331F8">
        <w:rPr>
          <w:i/>
          <w:iCs/>
        </w:rPr>
        <w:t xml:space="preserve"> de crédito al 30 %. Y hay otras que pagan un tipo más reducido: las asociaciones y fundaciones tributan al 10 % y las sociedades de inversión al 1 %</w:t>
      </w:r>
      <w:r w:rsidR="008331F8" w:rsidRPr="008331F8">
        <w:t>)</w:t>
      </w:r>
      <w:r w:rsidR="008331F8" w:rsidRPr="008331F8">
        <w:t>.</w:t>
      </w:r>
    </w:p>
    <w:p w14:paraId="15045DBF" w14:textId="153827F1" w:rsidR="00602646" w:rsidRDefault="00602646" w:rsidP="008331F8">
      <w:pPr>
        <w:pStyle w:val="Prrafodelista"/>
      </w:pPr>
    </w:p>
    <w:p w14:paraId="27EB7DE3" w14:textId="2319A191" w:rsidR="00602646" w:rsidRPr="00602646" w:rsidRDefault="00602646" w:rsidP="00602646">
      <w:r w:rsidRPr="00602646">
        <w:t xml:space="preserve">Al igual que un autónomo, </w:t>
      </w:r>
      <w:r w:rsidR="00782614" w:rsidRPr="00782614">
        <w:t>también tributan por:</w:t>
      </w:r>
      <w:r w:rsidRPr="00602646">
        <w:t> </w:t>
      </w:r>
    </w:p>
    <w:p w14:paraId="10492F68" w14:textId="151C6049" w:rsidR="00602646" w:rsidRPr="00602646" w:rsidRDefault="00602646" w:rsidP="00782614">
      <w:pPr>
        <w:pStyle w:val="Prrafodelista"/>
        <w:numPr>
          <w:ilvl w:val="0"/>
          <w:numId w:val="5"/>
        </w:numPr>
      </w:pPr>
      <w:r w:rsidRPr="00602646">
        <w:t xml:space="preserve">El </w:t>
      </w:r>
      <w:r w:rsidRPr="00782614">
        <w:rPr>
          <w:b/>
          <w:bCs/>
        </w:rPr>
        <w:t>IVA</w:t>
      </w:r>
      <w:r w:rsidRPr="00602646">
        <w:t xml:space="preserve"> de sus ventas y sus compras.  </w:t>
      </w:r>
    </w:p>
    <w:p w14:paraId="361E3227" w14:textId="77777777" w:rsidR="00103812" w:rsidRDefault="00602646" w:rsidP="00103812">
      <w:pPr>
        <w:numPr>
          <w:ilvl w:val="0"/>
          <w:numId w:val="5"/>
        </w:numPr>
        <w:tabs>
          <w:tab w:val="num" w:pos="720"/>
        </w:tabs>
      </w:pPr>
      <w:r w:rsidRPr="00602646">
        <w:t xml:space="preserve">El </w:t>
      </w:r>
      <w:r w:rsidRPr="00602646">
        <w:rPr>
          <w:b/>
          <w:bCs/>
        </w:rPr>
        <w:t>Impuesto sobre Actividades Económicas (IAE)</w:t>
      </w:r>
      <w:r w:rsidRPr="00602646">
        <w:t xml:space="preserve">, pero solo </w:t>
      </w:r>
      <w:r w:rsidRPr="00602646">
        <w:rPr>
          <w:b/>
          <w:bCs/>
        </w:rPr>
        <w:t>cuando facturan un millón de euros o más al año</w:t>
      </w:r>
      <w:r w:rsidR="00103812">
        <w:t>.</w:t>
      </w:r>
    </w:p>
    <w:p w14:paraId="6EB41B19" w14:textId="686D7979" w:rsidR="00103812" w:rsidRDefault="00055C75" w:rsidP="00103812">
      <w:pPr>
        <w:numPr>
          <w:ilvl w:val="0"/>
          <w:numId w:val="5"/>
        </w:numPr>
        <w:tabs>
          <w:tab w:val="num" w:pos="720"/>
        </w:tabs>
      </w:pPr>
      <w:r w:rsidRPr="00055C75">
        <w:t xml:space="preserve">El </w:t>
      </w:r>
      <w:r w:rsidRPr="00055C75">
        <w:rPr>
          <w:b/>
          <w:bCs/>
        </w:rPr>
        <w:t>IBI o impuesto sobre bienes inmuebles</w:t>
      </w:r>
      <w:r w:rsidRPr="00055C75">
        <w:t>, cuando el local donde se lleva la actividad es propiedad de la sociedad</w:t>
      </w:r>
      <w:r w:rsidR="00103812">
        <w:t>.</w:t>
      </w:r>
    </w:p>
    <w:p w14:paraId="3B902D11" w14:textId="4AD9F883" w:rsidR="00103812" w:rsidRDefault="00055C75" w:rsidP="00103812">
      <w:pPr>
        <w:numPr>
          <w:ilvl w:val="0"/>
          <w:numId w:val="5"/>
        </w:numPr>
        <w:tabs>
          <w:tab w:val="num" w:pos="720"/>
        </w:tabs>
      </w:pPr>
      <w:r w:rsidRPr="00055C75">
        <w:rPr>
          <w:b/>
          <w:bCs/>
        </w:rPr>
        <w:t>Tasas municipales</w:t>
      </w:r>
      <w:r w:rsidRPr="00055C75">
        <w:t xml:space="preserve"> como la de </w:t>
      </w:r>
      <w:r w:rsidRPr="00055C75">
        <w:rPr>
          <w:b/>
          <w:bCs/>
        </w:rPr>
        <w:t>recogida de basuras, servicio de alcantarillado y suministro de agua</w:t>
      </w:r>
      <w:r w:rsidR="00103812">
        <w:rPr>
          <w:b/>
          <w:bCs/>
        </w:rPr>
        <w:t>.</w:t>
      </w:r>
    </w:p>
    <w:p w14:paraId="696525F1" w14:textId="271FA676" w:rsidR="00103812" w:rsidRDefault="00055C75" w:rsidP="00103812">
      <w:pPr>
        <w:numPr>
          <w:ilvl w:val="0"/>
          <w:numId w:val="5"/>
        </w:numPr>
        <w:tabs>
          <w:tab w:val="num" w:pos="720"/>
        </w:tabs>
      </w:pPr>
      <w:r w:rsidRPr="00055C75">
        <w:t>El</w:t>
      </w:r>
      <w:r w:rsidRPr="00055C75">
        <w:rPr>
          <w:b/>
          <w:bCs/>
        </w:rPr>
        <w:t xml:space="preserve"> impuesto sobre vehículos de tracción mecánica (IVTM)</w:t>
      </w:r>
      <w:r w:rsidRPr="00055C75">
        <w:t>, en caso de que la sociedad tenga vehículos de su propiedad</w:t>
      </w:r>
      <w:r w:rsidR="00103812">
        <w:t>.</w:t>
      </w:r>
    </w:p>
    <w:p w14:paraId="2CAE1E44" w14:textId="4F43717A" w:rsidR="00055C75" w:rsidRDefault="00055C75" w:rsidP="00103812">
      <w:pPr>
        <w:numPr>
          <w:ilvl w:val="0"/>
          <w:numId w:val="5"/>
        </w:numPr>
        <w:tabs>
          <w:tab w:val="num" w:pos="720"/>
        </w:tabs>
      </w:pPr>
      <w:r w:rsidRPr="00055C75">
        <w:t xml:space="preserve">La </w:t>
      </w:r>
      <w:r w:rsidRPr="00055C75">
        <w:rPr>
          <w:b/>
          <w:bCs/>
        </w:rPr>
        <w:t>tasa por la utilización privativa o por el aprovechamiento especial de dominio público local</w:t>
      </w:r>
      <w:r w:rsidRPr="00055C75">
        <w:t>, que es una tasa que una sociedad tiene que pagar cuando en el exterior del local hace uso de espacios públicos como la entrada de vehículos, zonas de carga y descarga u otros objetos de ocupación del espacio público (mesas, sillas, puestos de venta, etcétera). </w:t>
      </w:r>
    </w:p>
    <w:p w14:paraId="29C384A9" w14:textId="1D936891" w:rsidR="000C2461" w:rsidRDefault="000C2461" w:rsidP="00BA2FDC">
      <w:pPr>
        <w:ind w:left="720" w:hanging="720"/>
      </w:pPr>
      <w:r>
        <w:t xml:space="preserve">Y hay otros más, pero son a varios niveles (autonómico, municipal, </w:t>
      </w:r>
      <w:proofErr w:type="spellStart"/>
      <w:r>
        <w:t>etc</w:t>
      </w:r>
      <w:proofErr w:type="spellEnd"/>
      <w:r>
        <w:t>) y según actividad.</w:t>
      </w:r>
    </w:p>
    <w:p w14:paraId="5C846CBC" w14:textId="447DEA89" w:rsidR="0003377A" w:rsidRPr="003B1CBD" w:rsidRDefault="000C2461" w:rsidP="0003377A">
      <w:pPr>
        <w:rPr>
          <w:i/>
          <w:iCs/>
        </w:rPr>
      </w:pPr>
      <w:r w:rsidRPr="003B1CBD">
        <w:rPr>
          <w:i/>
          <w:iCs/>
        </w:rPr>
        <w:lastRenderedPageBreak/>
        <w:t>¿Qué impuestos hay que pagar a la hora de crear una Sociedad Limitada?</w:t>
      </w:r>
    </w:p>
    <w:p w14:paraId="3E519D72" w14:textId="4D5F69C4" w:rsidR="000C2461" w:rsidRDefault="000C2461" w:rsidP="0003377A">
      <w:r>
        <w:t xml:space="preserve">Hay </w:t>
      </w:r>
      <w:r w:rsidRPr="003B1CBD">
        <w:rPr>
          <w:b/>
          <w:bCs/>
        </w:rPr>
        <w:t>dos impuestos</w:t>
      </w:r>
      <w:r>
        <w:t>:</w:t>
      </w:r>
    </w:p>
    <w:p w14:paraId="48AAD6BE" w14:textId="3E8F29E6" w:rsidR="000C2461" w:rsidRDefault="003328B7" w:rsidP="000C2461">
      <w:pPr>
        <w:pStyle w:val="Prrafodelista"/>
        <w:numPr>
          <w:ilvl w:val="0"/>
          <w:numId w:val="6"/>
        </w:numPr>
      </w:pPr>
      <w:r>
        <w:t xml:space="preserve">Sobre las </w:t>
      </w:r>
      <w:r w:rsidR="004B16E8" w:rsidRPr="003B1CBD">
        <w:rPr>
          <w:b/>
          <w:bCs/>
        </w:rPr>
        <w:t>T</w:t>
      </w:r>
      <w:r w:rsidR="004B16E8" w:rsidRPr="003B1CBD">
        <w:rPr>
          <w:b/>
          <w:bCs/>
        </w:rPr>
        <w:t>ransmisiones patrimoniales</w:t>
      </w:r>
      <w:r w:rsidR="004B16E8">
        <w:t xml:space="preserve">: el </w:t>
      </w:r>
      <w:r>
        <w:t>cual</w:t>
      </w:r>
      <w:r w:rsidR="004B16E8">
        <w:t xml:space="preserve"> está actualmente exento porque se cedió a las Comunidades Autónomas y la mayoría lo han dejado exento.</w:t>
      </w:r>
    </w:p>
    <w:p w14:paraId="706FF558" w14:textId="17F8CC83" w:rsidR="003328B7" w:rsidRDefault="003328B7" w:rsidP="000C2461">
      <w:pPr>
        <w:pStyle w:val="Prrafodelista"/>
        <w:numPr>
          <w:ilvl w:val="0"/>
          <w:numId w:val="6"/>
        </w:numPr>
      </w:pPr>
      <w:r>
        <w:t xml:space="preserve">Sobre </w:t>
      </w:r>
      <w:r w:rsidRPr="003B1CBD">
        <w:rPr>
          <w:b/>
          <w:bCs/>
        </w:rPr>
        <w:t>los actos jurídicos documentados</w:t>
      </w:r>
      <w:r>
        <w:t xml:space="preserve">: </w:t>
      </w:r>
      <w:r w:rsidRPr="003328B7">
        <w:t>se refiere a los documentos notariales, mercantiles y administrativos necesarios para crear una sociedad. </w:t>
      </w:r>
      <w:r>
        <w:t>Es el pago de tasas por los trámites burocráticos.</w:t>
      </w:r>
    </w:p>
    <w:p w14:paraId="0B754BAF" w14:textId="77777777" w:rsidR="0003377A" w:rsidRDefault="0003377A" w:rsidP="0003377A"/>
    <w:p w14:paraId="0B20F0C0" w14:textId="3C32B015" w:rsidR="0003377A" w:rsidRDefault="0003377A" w:rsidP="0003377A">
      <w:r w:rsidRPr="00DF4AF9">
        <w:rPr>
          <w:b/>
          <w:bCs/>
        </w:rPr>
        <w:t>Aunque no sea un impuesto</w:t>
      </w:r>
      <w:r>
        <w:t xml:space="preserve">, puesto a la </w:t>
      </w:r>
      <w:r w:rsidRPr="00DF4AF9">
        <w:rPr>
          <w:b/>
          <w:bCs/>
        </w:rPr>
        <w:t>Seguridad Social</w:t>
      </w:r>
      <w:r>
        <w:t xml:space="preserve"> no se pagan impuestos, si no </w:t>
      </w:r>
      <w:r w:rsidRPr="00DF4AF9">
        <w:rPr>
          <w:b/>
          <w:bCs/>
        </w:rPr>
        <w:t>Cotizaciones</w:t>
      </w:r>
      <w:r>
        <w:t>, se recuerda que hay que pagar las cotizaciones de los empleados.</w:t>
      </w:r>
      <w:r w:rsidR="004619D5">
        <w:t xml:space="preserve"> </w:t>
      </w:r>
    </w:p>
    <w:p w14:paraId="4E3CEF02" w14:textId="0517BDCF" w:rsidR="004619D5" w:rsidRPr="00055C75" w:rsidRDefault="004619D5" w:rsidP="004619D5">
      <w:pPr>
        <w:jc w:val="center"/>
        <w:rPr>
          <w:i/>
          <w:iCs/>
        </w:rPr>
      </w:pPr>
      <w:r w:rsidRPr="004619D5">
        <w:rPr>
          <w:i/>
          <w:iCs/>
        </w:rPr>
        <w:t>“</w:t>
      </w:r>
      <w:r w:rsidRPr="004619D5">
        <w:rPr>
          <w:i/>
          <w:iCs/>
        </w:rPr>
        <w:t>Esas cotizaciones se suman al salario que le pagas. E incluyen conceptos como las contingencias comunes y profesionales (por enfermedades o accidentes laborales), el desempleo o la formación</w:t>
      </w:r>
      <w:r w:rsidRPr="004619D5">
        <w:rPr>
          <w:i/>
          <w:iCs/>
        </w:rPr>
        <w:t>”</w:t>
      </w:r>
      <w:r w:rsidRPr="004619D5">
        <w:rPr>
          <w:i/>
          <w:iCs/>
        </w:rPr>
        <w:t>.</w:t>
      </w:r>
    </w:p>
    <w:p w14:paraId="11F5BF03" w14:textId="77777777" w:rsidR="00581DF4" w:rsidRDefault="00581DF4" w:rsidP="00581DF4"/>
    <w:p w14:paraId="27BC754E" w14:textId="69F341AE" w:rsidR="0075643B" w:rsidRPr="00FC6B0C" w:rsidRDefault="0075643B" w:rsidP="0075643B">
      <w:pPr>
        <w:pStyle w:val="Prrafodelista"/>
        <w:numPr>
          <w:ilvl w:val="0"/>
          <w:numId w:val="2"/>
        </w:numPr>
        <w:rPr>
          <w:i/>
          <w:iCs/>
        </w:rPr>
      </w:pPr>
      <w:r w:rsidRPr="00FC6B0C">
        <w:rPr>
          <w:i/>
          <w:iCs/>
        </w:rPr>
        <w:t>Menciona al menos dos modelos fiscales que deberían presentarse (por ejemplo, Modelo 303 de IVA, Modelo 200 del Impuesto de Sociedades) e indica su periodicidad (mensual, trimestral o anual).</w:t>
      </w:r>
    </w:p>
    <w:p w14:paraId="2947A959" w14:textId="77777777" w:rsidR="0075643B" w:rsidRDefault="0075643B" w:rsidP="0075643B"/>
    <w:p w14:paraId="06AE831E" w14:textId="7836AD94" w:rsidR="0075643B" w:rsidRDefault="0075643B" w:rsidP="0075643B">
      <w:pPr>
        <w:pStyle w:val="Prrafodelista"/>
        <w:numPr>
          <w:ilvl w:val="0"/>
          <w:numId w:val="7"/>
        </w:numPr>
      </w:pPr>
      <w:r w:rsidRPr="0075643B">
        <w:rPr>
          <w:b/>
          <w:bCs/>
        </w:rPr>
        <w:t>Modelo 303</w:t>
      </w:r>
      <w:r>
        <w:rPr>
          <w:rStyle w:val="Refdenotaalpie"/>
          <w:b/>
          <w:bCs/>
        </w:rPr>
        <w:footnoteReference w:id="3"/>
      </w:r>
      <w:r>
        <w:rPr>
          <w:b/>
          <w:bCs/>
        </w:rPr>
        <w:t xml:space="preserve">: </w:t>
      </w:r>
      <w:r w:rsidRPr="0075643B">
        <w:t>es un documento que permite la presentación de la declaración de IVA trimestral (o mensual para grandes empresas o aquellas que soliciten devolución mensual)</w:t>
      </w:r>
      <w:r>
        <w:rPr>
          <w:rStyle w:val="Refdenotaalpie"/>
        </w:rPr>
        <w:footnoteReference w:id="4"/>
      </w:r>
      <w:r w:rsidRPr="0075643B">
        <w:t>.</w:t>
      </w:r>
    </w:p>
    <w:p w14:paraId="133F9651" w14:textId="033CF450" w:rsidR="0075643B" w:rsidRDefault="0075643B" w:rsidP="0075643B">
      <w:pPr>
        <w:pStyle w:val="Prrafodelista"/>
        <w:numPr>
          <w:ilvl w:val="0"/>
          <w:numId w:val="7"/>
        </w:numPr>
      </w:pPr>
      <w:r>
        <w:rPr>
          <w:b/>
          <w:bCs/>
        </w:rPr>
        <w:t>Modelo 202</w:t>
      </w:r>
      <w:r w:rsidR="003F20AB">
        <w:rPr>
          <w:rStyle w:val="Refdenotaalpie"/>
          <w:b/>
          <w:bCs/>
        </w:rPr>
        <w:footnoteReference w:id="5"/>
      </w:r>
      <w:r>
        <w:rPr>
          <w:b/>
          <w:bCs/>
        </w:rPr>
        <w:t>:</w:t>
      </w:r>
      <w:r>
        <w:t xml:space="preserve"> </w:t>
      </w:r>
      <w:r w:rsidR="007D471C">
        <w:t>es la d</w:t>
      </w:r>
      <w:r w:rsidR="007D471C" w:rsidRPr="007D471C">
        <w:t xml:space="preserve">eclaración del </w:t>
      </w:r>
      <w:r w:rsidR="007D471C" w:rsidRPr="007D471C">
        <w:rPr>
          <w:b/>
          <w:bCs/>
        </w:rPr>
        <w:t>Impuesto sobre Sociedades (IS)</w:t>
      </w:r>
      <w:r w:rsidR="007D471C" w:rsidRPr="007D471C">
        <w:t>.</w:t>
      </w:r>
      <w:r w:rsidR="007D471C">
        <w:t xml:space="preserve"> Y es de carácter anual.</w:t>
      </w:r>
    </w:p>
    <w:p w14:paraId="64848FC1" w14:textId="77777777" w:rsidR="00FC6B0C" w:rsidRDefault="00FC6B0C" w:rsidP="00FC6B0C">
      <w:pPr>
        <w:sectPr w:rsidR="00FC6B0C" w:rsidSect="001F29F9">
          <w:pgSz w:w="12240" w:h="15840"/>
          <w:pgMar w:top="1440" w:right="1440" w:bottom="1440" w:left="1440" w:header="708" w:footer="708" w:gutter="0"/>
          <w:cols w:space="708"/>
          <w:titlePg/>
          <w:docGrid w:linePitch="360"/>
        </w:sectPr>
      </w:pPr>
    </w:p>
    <w:p w14:paraId="0D79E8EF" w14:textId="4EC06AF3" w:rsidR="00FC6B0C" w:rsidRPr="00FC6B0C" w:rsidRDefault="00FC6B0C" w:rsidP="00031D01">
      <w:pPr>
        <w:pStyle w:val="Ttulo1"/>
        <w:numPr>
          <w:ilvl w:val="0"/>
          <w:numId w:val="1"/>
        </w:numPr>
        <w:rPr>
          <w:lang w:val="en-US"/>
        </w:rPr>
      </w:pPr>
      <w:bookmarkStart w:id="2" w:name="_Toc215334576"/>
      <w:proofErr w:type="spellStart"/>
      <w:r w:rsidRPr="00FC6B0C">
        <w:rPr>
          <w:lang w:val="en-US"/>
        </w:rPr>
        <w:lastRenderedPageBreak/>
        <w:t>Obligaciones</w:t>
      </w:r>
      <w:proofErr w:type="spellEnd"/>
      <w:r w:rsidRPr="00FC6B0C">
        <w:rPr>
          <w:lang w:val="en-US"/>
        </w:rPr>
        <w:t xml:space="preserve"> </w:t>
      </w:r>
      <w:proofErr w:type="spellStart"/>
      <w:r w:rsidRPr="00FC6B0C">
        <w:rPr>
          <w:lang w:val="en-US"/>
        </w:rPr>
        <w:t>laborales</w:t>
      </w:r>
      <w:proofErr w:type="spellEnd"/>
      <w:r>
        <w:rPr>
          <w:lang w:val="en-US"/>
        </w:rPr>
        <w:t>.</w:t>
      </w:r>
      <w:bookmarkEnd w:id="2"/>
    </w:p>
    <w:p w14:paraId="2F0640F1" w14:textId="334A49C0" w:rsidR="00FC6B0C" w:rsidRPr="00562981" w:rsidRDefault="00FC6B0C" w:rsidP="00FC6B0C">
      <w:pPr>
        <w:pStyle w:val="Prrafodelista"/>
        <w:numPr>
          <w:ilvl w:val="0"/>
          <w:numId w:val="8"/>
        </w:numPr>
        <w:rPr>
          <w:i/>
          <w:iCs/>
        </w:rPr>
      </w:pPr>
      <w:r w:rsidRPr="00562981">
        <w:rPr>
          <w:i/>
          <w:iCs/>
        </w:rPr>
        <w:t>Determina los tipos de contrato más adecuados para el equipo inicial de desarrollo de tu proyecto, justificando brevemente cada elección (por ejemplo: contrato en prácticas, indefinido, etc.).</w:t>
      </w:r>
    </w:p>
    <w:p w14:paraId="2F883D39" w14:textId="77777777" w:rsidR="00562981" w:rsidRPr="00562981" w:rsidRDefault="00562981" w:rsidP="00562981">
      <w:r w:rsidRPr="00562981">
        <w:t xml:space="preserve">Para el equipo inicial de desarrollo, compuesto por un </w:t>
      </w:r>
      <w:r w:rsidRPr="00562981">
        <w:rPr>
          <w:b/>
          <w:bCs/>
        </w:rPr>
        <w:t>Administrador de Sistemas</w:t>
      </w:r>
      <w:r w:rsidRPr="00562981">
        <w:t xml:space="preserve"> y un </w:t>
      </w:r>
      <w:r w:rsidRPr="00562981">
        <w:rPr>
          <w:b/>
          <w:bCs/>
        </w:rPr>
        <w:t>Técnico de Soporte</w:t>
      </w:r>
      <w:r w:rsidRPr="00562981">
        <w:t>, se podrían considerar los siguientes tipos de contrato, justificando la necesidad de estabilidad y formación:</w:t>
      </w:r>
    </w:p>
    <w:p w14:paraId="18A18AC7" w14:textId="77777777" w:rsidR="00562981" w:rsidRPr="00562981" w:rsidRDefault="00562981" w:rsidP="00562981">
      <w:pPr>
        <w:numPr>
          <w:ilvl w:val="0"/>
          <w:numId w:val="9"/>
        </w:numPr>
      </w:pPr>
      <w:r w:rsidRPr="00562981">
        <w:rPr>
          <w:b/>
          <w:bCs/>
        </w:rPr>
        <w:t>Contrato Indefinido Ordinario:</w:t>
      </w:r>
      <w:r w:rsidRPr="00562981">
        <w:t xml:space="preserve"> Es la opción ideal para el </w:t>
      </w:r>
      <w:r w:rsidRPr="00562981">
        <w:rPr>
          <w:b/>
          <w:bCs/>
        </w:rPr>
        <w:t>Administrador de Sistemas</w:t>
      </w:r>
      <w:r w:rsidRPr="00562981">
        <w:t xml:space="preserve"> y otros roles clave que son esenciales para el desarrollo y mantenimiento a largo plazo de la solución. Ofrece </w:t>
      </w:r>
      <w:r w:rsidRPr="00562981">
        <w:rPr>
          <w:b/>
          <w:bCs/>
        </w:rPr>
        <w:t>estabilidad</w:t>
      </w:r>
      <w:r w:rsidRPr="00562981">
        <w:t xml:space="preserve"> al empleado y al proyecto, fomentando la retención de talento.</w:t>
      </w:r>
    </w:p>
    <w:p w14:paraId="0855AA52" w14:textId="77777777" w:rsidR="00562981" w:rsidRPr="00562981" w:rsidRDefault="00562981" w:rsidP="00562981">
      <w:pPr>
        <w:numPr>
          <w:ilvl w:val="0"/>
          <w:numId w:val="9"/>
        </w:numPr>
      </w:pPr>
      <w:r w:rsidRPr="00562981">
        <w:rPr>
          <w:b/>
          <w:bCs/>
        </w:rPr>
        <w:t>Contrato de Formación en Alternancia (Antiguo Contrato para la Formación y el Aprendizaje) o Contrato Formativo para la Obtención de Práctica Profesional (Antiguo Contrato en Prácticas):</w:t>
      </w:r>
      <w:r w:rsidRPr="00562981">
        <w:t xml:space="preserve"> Adecuado para el </w:t>
      </w:r>
      <w:r w:rsidRPr="00562981">
        <w:rPr>
          <w:b/>
          <w:bCs/>
        </w:rPr>
        <w:t>Técnico de Soporte</w:t>
      </w:r>
      <w:r w:rsidRPr="00562981">
        <w:t xml:space="preserve"> que está en sus inicios profesionales o acaba de obtener su titulación. El contrato en prácticas se utiliza para adquirir </w:t>
      </w:r>
      <w:r w:rsidRPr="00562981">
        <w:rPr>
          <w:b/>
          <w:bCs/>
        </w:rPr>
        <w:t>experiencia</w:t>
      </w:r>
      <w:r w:rsidRPr="00562981">
        <w:t xml:space="preserve"> relacionada con la titulación, mientras que el de formación en alternancia permite compatibilizar el trabajo con la formación.</w:t>
      </w:r>
    </w:p>
    <w:p w14:paraId="5973BDD7" w14:textId="77777777" w:rsidR="00562981" w:rsidRPr="00562981" w:rsidRDefault="00562981" w:rsidP="00562981">
      <w:pPr>
        <w:numPr>
          <w:ilvl w:val="0"/>
          <w:numId w:val="9"/>
        </w:numPr>
      </w:pPr>
      <w:r w:rsidRPr="00562981">
        <w:rPr>
          <w:b/>
          <w:bCs/>
        </w:rPr>
        <w:t>Contrato Temporal por Circunstancias de la Producción:</w:t>
      </w:r>
      <w:r w:rsidRPr="00562981">
        <w:t xml:space="preserve"> Podría usarse puntualmente para picos de trabajo muy específicos y justificables (ej. un proyecto de migración masiva de clientes), pero no es el más recomendable para el equipo central de desarrollo.</w:t>
      </w:r>
    </w:p>
    <w:p w14:paraId="3777AD02" w14:textId="77777777" w:rsidR="00562981" w:rsidRDefault="00562981" w:rsidP="00562981">
      <w:pPr>
        <w:sectPr w:rsidR="00562981" w:rsidSect="001F29F9">
          <w:pgSz w:w="12240" w:h="15840"/>
          <w:pgMar w:top="1440" w:right="1440" w:bottom="1440" w:left="1440" w:header="708" w:footer="708" w:gutter="0"/>
          <w:cols w:space="708"/>
          <w:titlePg/>
          <w:docGrid w:linePitch="360"/>
        </w:sectPr>
      </w:pPr>
    </w:p>
    <w:p w14:paraId="5BA42472" w14:textId="405E54B0" w:rsidR="00562981" w:rsidRPr="00562981" w:rsidRDefault="00562981" w:rsidP="00562981">
      <w:pPr>
        <w:pStyle w:val="Prrafodelista"/>
        <w:numPr>
          <w:ilvl w:val="0"/>
          <w:numId w:val="8"/>
        </w:numPr>
        <w:rPr>
          <w:i/>
          <w:iCs/>
        </w:rPr>
      </w:pPr>
      <w:r w:rsidRPr="00562981">
        <w:rPr>
          <w:i/>
          <w:iCs/>
        </w:rPr>
        <w:lastRenderedPageBreak/>
        <w:t>Investiga la obligación de realizar un Registro Horario, indicando cómo se realiza y por qué es obligatorio.</w:t>
      </w:r>
    </w:p>
    <w:p w14:paraId="64B2434E" w14:textId="7BD84432" w:rsidR="005732CD" w:rsidRPr="00FE02E1" w:rsidRDefault="005732CD" w:rsidP="005732CD">
      <w:r w:rsidRPr="00FE02E1">
        <w:t>El Registro Horario es una obligación legal en España implementada a partir del Real Decreto Ley 8/2019, publicado el 12 de marzo de 2019 y en vigor desde el 12 de mayo de ese mismo año</w:t>
      </w:r>
      <w:r w:rsidRPr="00FE02E1">
        <w:rPr>
          <w:rStyle w:val="Refdenotaalpie"/>
        </w:rPr>
        <w:footnoteReference w:id="6"/>
      </w:r>
      <w:r w:rsidRPr="00FE02E1">
        <w:t>.</w:t>
      </w:r>
    </w:p>
    <w:p w14:paraId="5A8DC0AD" w14:textId="41F5555A" w:rsidR="005732CD" w:rsidRPr="00FE02E1" w:rsidRDefault="005732CD" w:rsidP="005732CD">
      <w:r w:rsidRPr="00FE02E1">
        <w:t>Su objetivo principal es garantizar el cumplimiento de los horarios de trabajo, evitar el fraude por la no compensación o abono de las horas extra, y dar respuesta a situaciones como las contrataciones a tiempo parcial que ocultan jornadas completas.</w:t>
      </w:r>
    </w:p>
    <w:p w14:paraId="5E70E117" w14:textId="77777777" w:rsidR="00FE02E1" w:rsidRPr="00FE02E1" w:rsidRDefault="00FE02E1" w:rsidP="00FE02E1">
      <w:r w:rsidRPr="00FE02E1">
        <w:t>La normativa obliga a las empresas a:</w:t>
      </w:r>
    </w:p>
    <w:p w14:paraId="2B780513" w14:textId="77777777" w:rsidR="00FE02E1" w:rsidRPr="00FE02E1" w:rsidRDefault="00FE02E1" w:rsidP="00FE02E1">
      <w:pPr>
        <w:numPr>
          <w:ilvl w:val="0"/>
          <w:numId w:val="10"/>
        </w:numPr>
      </w:pPr>
      <w:r w:rsidRPr="00FE02E1">
        <w:rPr>
          <w:b/>
          <w:bCs/>
        </w:rPr>
        <w:t>Registro Diario:</w:t>
      </w:r>
      <w:r w:rsidRPr="00FE02E1">
        <w:t xml:space="preserve"> Iniciar un registro del </w:t>
      </w:r>
      <w:r w:rsidRPr="00FE02E1">
        <w:rPr>
          <w:b/>
          <w:bCs/>
        </w:rPr>
        <w:t>horario de inicio y fin</w:t>
      </w:r>
      <w:r w:rsidRPr="00FE02E1">
        <w:t xml:space="preserve"> de la jornada laboral de </w:t>
      </w:r>
      <w:r w:rsidRPr="00FE02E1">
        <w:rPr>
          <w:b/>
          <w:bCs/>
        </w:rPr>
        <w:t>todos los trabajadores</w:t>
      </w:r>
      <w:r w:rsidRPr="00FE02E1">
        <w:t>, con carácter diario, e independiente de la posible flexibilidad horaria.</w:t>
      </w:r>
    </w:p>
    <w:p w14:paraId="36677BF3" w14:textId="77777777" w:rsidR="00FE02E1" w:rsidRPr="00FE02E1" w:rsidRDefault="00FE02E1" w:rsidP="00FE02E1">
      <w:pPr>
        <w:numPr>
          <w:ilvl w:val="0"/>
          <w:numId w:val="10"/>
        </w:numPr>
      </w:pPr>
      <w:r w:rsidRPr="00FE02E1">
        <w:rPr>
          <w:b/>
          <w:bCs/>
        </w:rPr>
        <w:t>Alcance Universal:</w:t>
      </w:r>
      <w:r w:rsidRPr="00FE02E1">
        <w:t xml:space="preserve"> Aplica a </w:t>
      </w:r>
      <w:r w:rsidRPr="00FE02E1">
        <w:rPr>
          <w:b/>
          <w:bCs/>
        </w:rPr>
        <w:t>todos los trabajadores</w:t>
      </w:r>
      <w:r w:rsidRPr="00FE02E1">
        <w:t>, sin importar el tipo de contrato (tiempo completo o parcial) ni las dimensiones de la empresa.</w:t>
      </w:r>
    </w:p>
    <w:p w14:paraId="3B0AEF25" w14:textId="77777777" w:rsidR="00FE02E1" w:rsidRPr="00FE02E1" w:rsidRDefault="00FE02E1" w:rsidP="00FE02E1">
      <w:pPr>
        <w:numPr>
          <w:ilvl w:val="0"/>
          <w:numId w:val="10"/>
        </w:numPr>
      </w:pPr>
      <w:r w:rsidRPr="00FE02E1">
        <w:rPr>
          <w:b/>
          <w:bCs/>
        </w:rPr>
        <w:t>Conservación:</w:t>
      </w:r>
      <w:r w:rsidRPr="00FE02E1">
        <w:t xml:space="preserve"> Guardar esta información durante </w:t>
      </w:r>
      <w:r w:rsidRPr="00FE02E1">
        <w:rPr>
          <w:b/>
          <w:bCs/>
        </w:rPr>
        <w:t>cuatro años</w:t>
      </w:r>
      <w:r w:rsidRPr="00FE02E1">
        <w:t>.</w:t>
      </w:r>
    </w:p>
    <w:p w14:paraId="2D853E6D" w14:textId="77777777" w:rsidR="00FE02E1" w:rsidRPr="00FE02E1" w:rsidRDefault="00FE02E1" w:rsidP="00FE02E1">
      <w:pPr>
        <w:numPr>
          <w:ilvl w:val="0"/>
          <w:numId w:val="10"/>
        </w:numPr>
      </w:pPr>
      <w:r w:rsidRPr="00FE02E1">
        <w:rPr>
          <w:b/>
          <w:bCs/>
        </w:rPr>
        <w:t>Disponibilidad:</w:t>
      </w:r>
      <w:r w:rsidRPr="00FE02E1">
        <w:t xml:space="preserve"> Poner esta información a disposición de los </w:t>
      </w:r>
      <w:r w:rsidRPr="00FE02E1">
        <w:rPr>
          <w:b/>
          <w:bCs/>
        </w:rPr>
        <w:t>trabajadores, sus representantes (RLT)</w:t>
      </w:r>
      <w:r w:rsidRPr="00FE02E1">
        <w:t xml:space="preserve"> e </w:t>
      </w:r>
      <w:r w:rsidRPr="00FE02E1">
        <w:rPr>
          <w:b/>
          <w:bCs/>
        </w:rPr>
        <w:t>inspectores laborales</w:t>
      </w:r>
      <w:r w:rsidRPr="00FE02E1">
        <w:t xml:space="preserve"> cuando sea solicitada.</w:t>
      </w:r>
    </w:p>
    <w:p w14:paraId="6C48D786" w14:textId="77777777" w:rsidR="00FE02E1" w:rsidRPr="00FE02E1" w:rsidRDefault="00FE02E1" w:rsidP="00FE02E1">
      <w:r w:rsidRPr="00FE02E1">
        <w:t>El incumplimiento del registro horario constituye una infracción grave en materia laboral, con un régimen de sanciones que varía según la gravedad:</w:t>
      </w:r>
    </w:p>
    <w:p w14:paraId="128DD6B0" w14:textId="341FD25B" w:rsidR="00FE02E1" w:rsidRPr="00FE02E1" w:rsidRDefault="00FE02E1" w:rsidP="00FE02E1">
      <w:r w:rsidRPr="00FE02E1">
        <w:rPr>
          <w:b/>
          <w:bCs/>
        </w:rPr>
        <w:t>Leves</w:t>
      </w:r>
      <w:r w:rsidRPr="00FE02E1">
        <w:rPr>
          <w:b/>
          <w:bCs/>
        </w:rPr>
        <w:t xml:space="preserve">: </w:t>
      </w:r>
      <w:r w:rsidRPr="00FE02E1">
        <w:t>De 60 a 625 €</w:t>
      </w:r>
      <w:r w:rsidRPr="00FE02E1">
        <w:t xml:space="preserve">. </w:t>
      </w:r>
      <w:r w:rsidRPr="00FE02E1">
        <w:t>No poner los registros a disposición de los empleados.</w:t>
      </w:r>
    </w:p>
    <w:p w14:paraId="79258F47" w14:textId="3C646970" w:rsidR="00FE02E1" w:rsidRPr="00FE02E1" w:rsidRDefault="00FE02E1" w:rsidP="00FE02E1">
      <w:r w:rsidRPr="00FE02E1">
        <w:rPr>
          <w:b/>
          <w:bCs/>
        </w:rPr>
        <w:t>Graves</w:t>
      </w:r>
      <w:r w:rsidRPr="00FE02E1">
        <w:rPr>
          <w:b/>
          <w:bCs/>
        </w:rPr>
        <w:t xml:space="preserve">: </w:t>
      </w:r>
      <w:r w:rsidRPr="00FE02E1">
        <w:t>De 626 a 6.250 €</w:t>
      </w:r>
      <w:r w:rsidRPr="00FE02E1">
        <w:t xml:space="preserve">. </w:t>
      </w:r>
      <w:r w:rsidRPr="00FE02E1">
        <w:t>Errores en los registros, horas extras no computadas.</w:t>
      </w:r>
    </w:p>
    <w:p w14:paraId="40128348" w14:textId="01F81084" w:rsidR="00FE02E1" w:rsidRPr="00FE02E1" w:rsidRDefault="00FE02E1" w:rsidP="00FE02E1">
      <w:r w:rsidRPr="00FE02E1">
        <w:rPr>
          <w:b/>
          <w:bCs/>
        </w:rPr>
        <w:t>Muy Graves</w:t>
      </w:r>
      <w:r w:rsidRPr="00FE02E1">
        <w:rPr>
          <w:b/>
          <w:bCs/>
        </w:rPr>
        <w:t xml:space="preserve">: </w:t>
      </w:r>
      <w:r w:rsidRPr="00FE02E1">
        <w:t>Hasta 187.515 €</w:t>
      </w:r>
      <w:r w:rsidRPr="00FE02E1">
        <w:t xml:space="preserve">. </w:t>
      </w:r>
      <w:r w:rsidRPr="00FE02E1">
        <w:t>Superación del límite de horas extras anuales y su no remuneración o cotización.</w:t>
      </w:r>
    </w:p>
    <w:p w14:paraId="45270E91" w14:textId="097E8377" w:rsidR="00FE02E1" w:rsidRPr="00FE02E1" w:rsidRDefault="00FE02E1" w:rsidP="00FE02E1">
      <w:r w:rsidRPr="00FE02E1">
        <w:t xml:space="preserve">Para garantizar el cumplimiento normativo, </w:t>
      </w:r>
      <w:r>
        <w:t>se recomienda</w:t>
      </w:r>
      <w:r w:rsidRPr="00FE02E1">
        <w:t xml:space="preserve"> la implementación de </w:t>
      </w:r>
      <w:r w:rsidRPr="00FE02E1">
        <w:rPr>
          <w:b/>
          <w:bCs/>
        </w:rPr>
        <w:t>software especializado en control de jornada</w:t>
      </w:r>
      <w:r w:rsidRPr="00FE02E1">
        <w:t>, que permite evitar errores y reducir el riesgo de sanciones, siendo más eficaz que el registro en papel.</w:t>
      </w:r>
    </w:p>
    <w:p w14:paraId="0666A9C5" w14:textId="77777777" w:rsidR="00FE02E1" w:rsidRPr="00FE02E1" w:rsidRDefault="00FE02E1" w:rsidP="00FE02E1">
      <w:pPr>
        <w:numPr>
          <w:ilvl w:val="0"/>
          <w:numId w:val="11"/>
        </w:numPr>
      </w:pPr>
      <w:r w:rsidRPr="00FE02E1">
        <w:rPr>
          <w:b/>
          <w:bCs/>
        </w:rPr>
        <w:t>Software de Control de Jornada (Soluciones Sencillas):</w:t>
      </w:r>
      <w:r w:rsidRPr="00FE02E1">
        <w:t xml:space="preserve"> Permiten registrar entradas y salidas desde el </w:t>
      </w:r>
      <w:r w:rsidRPr="00FE02E1">
        <w:rPr>
          <w:b/>
          <w:bCs/>
        </w:rPr>
        <w:t xml:space="preserve">ordenador o una </w:t>
      </w:r>
      <w:proofErr w:type="gramStart"/>
      <w:r w:rsidRPr="00FE02E1">
        <w:rPr>
          <w:b/>
          <w:bCs/>
        </w:rPr>
        <w:t>app</w:t>
      </w:r>
      <w:proofErr w:type="gramEnd"/>
      <w:r w:rsidRPr="00FE02E1">
        <w:t>, con una interfaz sencilla y accesible.</w:t>
      </w:r>
    </w:p>
    <w:p w14:paraId="2B8B9CEB" w14:textId="77777777" w:rsidR="00FE02E1" w:rsidRPr="00FE02E1" w:rsidRDefault="00FE02E1" w:rsidP="00FE02E1">
      <w:pPr>
        <w:numPr>
          <w:ilvl w:val="0"/>
          <w:numId w:val="11"/>
        </w:numPr>
      </w:pPr>
      <w:r w:rsidRPr="00FE02E1">
        <w:rPr>
          <w:b/>
          <w:bCs/>
        </w:rPr>
        <w:lastRenderedPageBreak/>
        <w:t>Software con Funcionalidades Avanzadas:</w:t>
      </w:r>
      <w:r w:rsidRPr="00FE02E1">
        <w:t xml:space="preserve"> Habilitan el </w:t>
      </w:r>
      <w:r w:rsidRPr="00FE02E1">
        <w:rPr>
          <w:b/>
          <w:bCs/>
        </w:rPr>
        <w:t>control horario de forma eficiente</w:t>
      </w:r>
      <w:r w:rsidRPr="00FE02E1">
        <w:t xml:space="preserve"> sin depender del presentismo, y permiten la </w:t>
      </w:r>
      <w:r w:rsidRPr="00FE02E1">
        <w:rPr>
          <w:b/>
          <w:bCs/>
        </w:rPr>
        <w:t>deslocalización</w:t>
      </w:r>
      <w:r w:rsidRPr="00FE02E1">
        <w:t xml:space="preserve"> gracias a </w:t>
      </w:r>
      <w:proofErr w:type="gramStart"/>
      <w:r w:rsidRPr="00FE02E1">
        <w:t>apps</w:t>
      </w:r>
      <w:proofErr w:type="gramEnd"/>
      <w:r w:rsidRPr="00FE02E1">
        <w:t xml:space="preserve"> gratuitas para fichar </w:t>
      </w:r>
      <w:r w:rsidRPr="00FE02E1">
        <w:rPr>
          <w:b/>
          <w:bCs/>
        </w:rPr>
        <w:t>desde cualquier punto</w:t>
      </w:r>
      <w:r w:rsidRPr="00FE02E1">
        <w:t xml:space="preserve"> (adaptado a teletrabajo y personal en desplazamiento).</w:t>
      </w:r>
    </w:p>
    <w:p w14:paraId="6910DD80" w14:textId="374DA9C3" w:rsidR="00FE02E1" w:rsidRPr="00FE02E1" w:rsidRDefault="00FE02E1" w:rsidP="00FE02E1">
      <w:pPr>
        <w:pStyle w:val="Prrafodelista"/>
        <w:numPr>
          <w:ilvl w:val="0"/>
          <w:numId w:val="8"/>
        </w:numPr>
        <w:rPr>
          <w:i/>
          <w:iCs/>
        </w:rPr>
      </w:pPr>
      <w:r w:rsidRPr="00FE02E1">
        <w:rPr>
          <w:i/>
          <w:iCs/>
        </w:rPr>
        <w:t>Explica brevemente el Registro Retributivo: en qué consiste, quién debe tenerlo y por qué es importante si hay empleados.</w:t>
      </w:r>
    </w:p>
    <w:p w14:paraId="74F1FE16" w14:textId="67A97E46" w:rsidR="00FE02E1" w:rsidRDefault="00980898" w:rsidP="00FE02E1">
      <w:r w:rsidRPr="00980898">
        <w:t xml:space="preserve">El </w:t>
      </w:r>
      <w:r w:rsidRPr="00980898">
        <w:rPr>
          <w:b/>
          <w:bCs/>
        </w:rPr>
        <w:t>Registro Retributivo</w:t>
      </w:r>
      <w:r w:rsidRPr="00980898">
        <w:t xml:space="preserve"> es una obligación legal cuyo objetivo principal es </w:t>
      </w:r>
      <w:r w:rsidRPr="00980898">
        <w:rPr>
          <w:b/>
          <w:bCs/>
        </w:rPr>
        <w:t>reducir la brecha salarial</w:t>
      </w:r>
      <w:r w:rsidRPr="00980898">
        <w:t xml:space="preserve"> entre hombres y mujeres en las empresas, garantizando la igualdad retributiva y el cumplimiento efectivo del Plan de Igualdad</w:t>
      </w:r>
      <w:r>
        <w:rPr>
          <w:rStyle w:val="Refdenotaalpie"/>
        </w:rPr>
        <w:footnoteReference w:id="7"/>
      </w:r>
      <w:r w:rsidRPr="00980898">
        <w:t>.</w:t>
      </w:r>
    </w:p>
    <w:p w14:paraId="0BCB8DC1" w14:textId="77777777" w:rsidR="00C13767" w:rsidRPr="00C13767" w:rsidRDefault="00C13767" w:rsidP="00C13767">
      <w:pPr>
        <w:rPr>
          <w:b/>
          <w:bCs/>
        </w:rPr>
      </w:pPr>
      <w:r w:rsidRPr="00C13767">
        <w:rPr>
          <w:b/>
          <w:bCs/>
        </w:rPr>
        <w:t>¿En qué Consiste y Quién lo Presenta?</w:t>
      </w:r>
    </w:p>
    <w:p w14:paraId="1B09D3A5" w14:textId="77777777" w:rsidR="00C13767" w:rsidRPr="00C13767" w:rsidRDefault="00C13767" w:rsidP="00C13767">
      <w:pPr>
        <w:numPr>
          <w:ilvl w:val="0"/>
          <w:numId w:val="13"/>
        </w:numPr>
      </w:pPr>
      <w:r w:rsidRPr="00C13767">
        <w:rPr>
          <w:b/>
          <w:bCs/>
        </w:rPr>
        <w:t>Alcance Universal:</w:t>
      </w:r>
      <w:r w:rsidRPr="00C13767">
        <w:t xml:space="preserve"> </w:t>
      </w:r>
      <w:r w:rsidRPr="00C13767">
        <w:rPr>
          <w:b/>
          <w:bCs/>
        </w:rPr>
        <w:t>Todas las empresas en España</w:t>
      </w:r>
      <w:r w:rsidRPr="00C13767">
        <w:t>, sin importar su tamaño, están obligadas a presentar y mantener el registro salarial.</w:t>
      </w:r>
    </w:p>
    <w:p w14:paraId="63093310" w14:textId="77777777" w:rsidR="00C13767" w:rsidRPr="00C13767" w:rsidRDefault="00C13767" w:rsidP="00C13767">
      <w:pPr>
        <w:numPr>
          <w:ilvl w:val="0"/>
          <w:numId w:val="13"/>
        </w:numPr>
      </w:pPr>
      <w:r w:rsidRPr="00C13767">
        <w:rPr>
          <w:b/>
          <w:bCs/>
        </w:rPr>
        <w:t>Propósito:</w:t>
      </w:r>
      <w:r w:rsidRPr="00C13767">
        <w:t xml:space="preserve"> Dejar constancia de los </w:t>
      </w:r>
      <w:r w:rsidRPr="00C13767">
        <w:rPr>
          <w:b/>
          <w:bCs/>
        </w:rPr>
        <w:t>valores medios de los salarios, complementos y percepciones extrasalariales</w:t>
      </w:r>
      <w:r w:rsidRPr="00C13767">
        <w:t xml:space="preserve"> para constatar y corregir posibles desigualdades retributivas.</w:t>
      </w:r>
    </w:p>
    <w:p w14:paraId="72F8C9A5" w14:textId="77777777" w:rsidR="00C13767" w:rsidRPr="00C13767" w:rsidRDefault="00C13767" w:rsidP="00C13767">
      <w:pPr>
        <w:numPr>
          <w:ilvl w:val="0"/>
          <w:numId w:val="13"/>
        </w:numPr>
      </w:pPr>
      <w:r w:rsidRPr="00C13767">
        <w:rPr>
          <w:b/>
          <w:bCs/>
        </w:rPr>
        <w:t>Fundamento Legal:</w:t>
      </w:r>
      <w:r w:rsidRPr="00C13767">
        <w:t xml:space="preserve"> La obligación se origina en el Real Decreto-Ley 6/2019, desarrollado reglamentariamente por el </w:t>
      </w:r>
      <w:r w:rsidRPr="00C13767">
        <w:rPr>
          <w:b/>
          <w:bCs/>
        </w:rPr>
        <w:t>Real Decreto-Ley 902/2020</w:t>
      </w:r>
      <w:r w:rsidRPr="00C13767">
        <w:t xml:space="preserve"> de Igualdad Retributiva.</w:t>
      </w:r>
    </w:p>
    <w:p w14:paraId="4D5CC12B" w14:textId="4A6EFF3F" w:rsidR="00C13767" w:rsidRPr="00C13767" w:rsidRDefault="00C13767" w:rsidP="00C13767">
      <w:pPr>
        <w:numPr>
          <w:ilvl w:val="0"/>
          <w:numId w:val="13"/>
        </w:numPr>
      </w:pPr>
      <w:r w:rsidRPr="00C13767">
        <w:rPr>
          <w:b/>
          <w:bCs/>
        </w:rPr>
        <w:t>Concepto Clave:</w:t>
      </w:r>
      <w:r w:rsidRPr="00C13767">
        <w:t xml:space="preserve"> La normativa aborda el concepto de </w:t>
      </w:r>
      <w:r w:rsidRPr="00C13767">
        <w:rPr>
          <w:b/>
          <w:bCs/>
        </w:rPr>
        <w:t>"trabajo de igual valor"</w:t>
      </w:r>
      <w:r w:rsidRPr="00C13767">
        <w:t xml:space="preserve">, determinando que dos puestos laborales deben ser compensados de la misma forma </w:t>
      </w:r>
      <w:r w:rsidRPr="00C13767">
        <w:t>sí</w:t>
      </w:r>
      <w:r w:rsidRPr="00C13767">
        <w:t xml:space="preserve"> coinciden en funciones, condiciones solicitadas para su desempeño (formativas, educativas, etc.) y se llevan a cabo en las mismas condiciones laborales, incluso si tienen una denominación distinta.</w:t>
      </w:r>
    </w:p>
    <w:p w14:paraId="248A0158" w14:textId="77777777" w:rsidR="00C13767" w:rsidRDefault="00C13767" w:rsidP="00FE02E1">
      <w:pPr>
        <w:rPr>
          <w:b/>
          <w:bCs/>
        </w:rPr>
      </w:pPr>
      <w:r w:rsidRPr="00C13767">
        <w:rPr>
          <w:b/>
          <w:bCs/>
        </w:rPr>
        <w:t>¿Por qué es importante?</w:t>
      </w:r>
    </w:p>
    <w:p w14:paraId="2A72A293" w14:textId="22E9868E" w:rsidR="00C13767" w:rsidRDefault="00C13767" w:rsidP="00FE02E1">
      <w:r w:rsidRPr="00C13767">
        <w:t xml:space="preserve">Su objetivo principal es garantizar la </w:t>
      </w:r>
      <w:r w:rsidRPr="00C13767">
        <w:rPr>
          <w:b/>
          <w:bCs/>
        </w:rPr>
        <w:t>transparencia</w:t>
      </w:r>
      <w:r w:rsidRPr="00C13767">
        <w:rPr>
          <w:b/>
          <w:bCs/>
        </w:rPr>
        <w:t xml:space="preserve"> salarial</w:t>
      </w:r>
      <w:r w:rsidRPr="00C13767">
        <w:t xml:space="preserve"> y luchar contra la </w:t>
      </w:r>
      <w:r w:rsidRPr="00C13767">
        <w:rPr>
          <w:b/>
          <w:bCs/>
        </w:rPr>
        <w:t>brecha salarial de género</w:t>
      </w:r>
      <w:r w:rsidRPr="00C13767">
        <w:t xml:space="preserve">. Si la empresa tiene 50 o más trabajadores, y la media de retribuciones entre hombres y mujeres en una misma categoría supera el </w:t>
      </w:r>
      <w:r w:rsidRPr="00C13767">
        <w:rPr>
          <w:b/>
          <w:bCs/>
        </w:rPr>
        <w:t>25%</w:t>
      </w:r>
      <w:r w:rsidRPr="00C13767">
        <w:t>, está obligada a justificarlo mediante un Plan de Igualdad y una Auditoría Retributiva.</w:t>
      </w:r>
    </w:p>
    <w:p w14:paraId="483C96F9" w14:textId="77777777" w:rsidR="00C13767" w:rsidRDefault="00C13767" w:rsidP="00FE02E1">
      <w:pPr>
        <w:sectPr w:rsidR="00C13767" w:rsidSect="001F29F9">
          <w:pgSz w:w="12240" w:h="15840"/>
          <w:pgMar w:top="1440" w:right="1440" w:bottom="1440" w:left="1440" w:header="708" w:footer="708" w:gutter="0"/>
          <w:cols w:space="708"/>
          <w:titlePg/>
          <w:docGrid w:linePitch="360"/>
        </w:sectPr>
      </w:pPr>
    </w:p>
    <w:p w14:paraId="451626F5" w14:textId="074CFE81" w:rsidR="00C13767" w:rsidRDefault="00C13767" w:rsidP="00031D01">
      <w:pPr>
        <w:pStyle w:val="Ttulo1"/>
        <w:numPr>
          <w:ilvl w:val="0"/>
          <w:numId w:val="1"/>
        </w:numPr>
        <w:rPr>
          <w:lang w:val="en-US"/>
        </w:rPr>
      </w:pPr>
      <w:bookmarkStart w:id="3" w:name="_Toc215334577"/>
      <w:proofErr w:type="spellStart"/>
      <w:r w:rsidRPr="00C13767">
        <w:rPr>
          <w:lang w:val="en-US"/>
        </w:rPr>
        <w:lastRenderedPageBreak/>
        <w:t>Prevención</w:t>
      </w:r>
      <w:proofErr w:type="spellEnd"/>
      <w:r w:rsidRPr="00C13767">
        <w:rPr>
          <w:lang w:val="en-US"/>
        </w:rPr>
        <w:t xml:space="preserve"> de </w:t>
      </w:r>
      <w:proofErr w:type="spellStart"/>
      <w:r w:rsidRPr="00C13767">
        <w:rPr>
          <w:lang w:val="en-US"/>
        </w:rPr>
        <w:t>Riesgos</w:t>
      </w:r>
      <w:proofErr w:type="spellEnd"/>
      <w:r w:rsidRPr="00C13767">
        <w:rPr>
          <w:lang w:val="en-US"/>
        </w:rPr>
        <w:t xml:space="preserve"> </w:t>
      </w:r>
      <w:proofErr w:type="spellStart"/>
      <w:r w:rsidRPr="00C13767">
        <w:rPr>
          <w:lang w:val="en-US"/>
        </w:rPr>
        <w:t>Laborales</w:t>
      </w:r>
      <w:proofErr w:type="spellEnd"/>
      <w:r>
        <w:rPr>
          <w:lang w:val="en-US"/>
        </w:rPr>
        <w:t>.</w:t>
      </w:r>
      <w:bookmarkEnd w:id="3"/>
    </w:p>
    <w:p w14:paraId="76DFEB26" w14:textId="2693992A" w:rsidR="00C13767" w:rsidRPr="004D076B" w:rsidRDefault="004D076B" w:rsidP="004D076B">
      <w:pPr>
        <w:pStyle w:val="Prrafodelista"/>
        <w:numPr>
          <w:ilvl w:val="0"/>
          <w:numId w:val="14"/>
        </w:numPr>
        <w:rPr>
          <w:i/>
          <w:iCs/>
          <w:lang w:val="en-US"/>
        </w:rPr>
      </w:pPr>
      <w:r w:rsidRPr="004D076B">
        <w:rPr>
          <w:i/>
          <w:iCs/>
        </w:rPr>
        <w:t>Identifica los riesgos laborales más comunes en el sector tecnológico o de servicios informáticos: riesgos ergonómicos, fatiga visual, riesgos psicosociales, etc.</w:t>
      </w:r>
    </w:p>
    <w:p w14:paraId="4F27E302" w14:textId="3FE27E74" w:rsidR="00C13767" w:rsidRDefault="004D076B" w:rsidP="00FE02E1">
      <w:r w:rsidRPr="004D076B">
        <w:t xml:space="preserve">En el sector tecnológico y de servicios informáticos, aunque los riesgos son menos evidentes que </w:t>
      </w:r>
      <w:r>
        <w:t>en sectores más “físicos”</w:t>
      </w:r>
      <w:r w:rsidRPr="004D076B">
        <w:t>, son igualmente importantes y están muy ligados al entorno de oficina.</w:t>
      </w:r>
    </w:p>
    <w:p w14:paraId="6DB62815" w14:textId="0BEBE41D" w:rsidR="004D076B" w:rsidRDefault="004D076B" w:rsidP="00FE02E1">
      <w:r>
        <w:t>Los Riesgos más Comunes son</w:t>
      </w:r>
      <w:r>
        <w:rPr>
          <w:rStyle w:val="Refdenotaalpie"/>
        </w:rPr>
        <w:footnoteReference w:id="8"/>
      </w:r>
      <w:r>
        <w:t>:</w:t>
      </w:r>
    </w:p>
    <w:p w14:paraId="3534D0EB" w14:textId="1A9A1AFF" w:rsidR="00E0513A" w:rsidRDefault="00865ABB" w:rsidP="00865ABB">
      <w:pPr>
        <w:pStyle w:val="Prrafodelista"/>
        <w:numPr>
          <w:ilvl w:val="0"/>
          <w:numId w:val="6"/>
        </w:numPr>
      </w:pPr>
      <w:r w:rsidRPr="00865ABB">
        <w:rPr>
          <w:b/>
          <w:bCs/>
        </w:rPr>
        <w:t>Ergonómicos</w:t>
      </w:r>
      <w:r>
        <w:rPr>
          <w:b/>
          <w:bCs/>
        </w:rPr>
        <w:t xml:space="preserve">: </w:t>
      </w:r>
      <w:r w:rsidRPr="00865ABB">
        <w:t>Posturas forzadas y movimientos repetitivos (uso constante del teclado/ratón), diseño inadecuado de sillas y mesas, pantallas mal ajustadas.</w:t>
      </w:r>
    </w:p>
    <w:p w14:paraId="18C77E5B" w14:textId="416AD2C7" w:rsidR="00865ABB" w:rsidRDefault="00865ABB" w:rsidP="00865ABB">
      <w:pPr>
        <w:pStyle w:val="Prrafodelista"/>
        <w:numPr>
          <w:ilvl w:val="0"/>
          <w:numId w:val="6"/>
        </w:numPr>
      </w:pPr>
      <w:r w:rsidRPr="00865ABB">
        <w:rPr>
          <w:b/>
          <w:bCs/>
        </w:rPr>
        <w:t>Visuales</w:t>
      </w:r>
      <w:r>
        <w:rPr>
          <w:b/>
          <w:bCs/>
        </w:rPr>
        <w:t xml:space="preserve">: </w:t>
      </w:r>
      <w:r w:rsidRPr="00865ABB">
        <w:t>Fatiga visual y deslumbramiento, debido a la exposición prolongada a Pantallas o a iluminación inadecuada.</w:t>
      </w:r>
    </w:p>
    <w:p w14:paraId="36F208CD" w14:textId="71784BC4" w:rsidR="00865ABB" w:rsidRDefault="00865ABB" w:rsidP="00865ABB">
      <w:pPr>
        <w:pStyle w:val="Prrafodelista"/>
        <w:numPr>
          <w:ilvl w:val="0"/>
          <w:numId w:val="6"/>
        </w:numPr>
      </w:pPr>
      <w:r w:rsidRPr="00865ABB">
        <w:rPr>
          <w:b/>
          <w:bCs/>
        </w:rPr>
        <w:t>Psicosociales</w:t>
      </w:r>
      <w:r>
        <w:rPr>
          <w:b/>
          <w:bCs/>
        </w:rPr>
        <w:t xml:space="preserve">: </w:t>
      </w:r>
      <w:r w:rsidRPr="00865ABB">
        <w:t>Estrés laboral (derivado de plazos ajustados, alta demanda, o gestión de incidentes críticos), carga mental excesiva, aislamiento, falta de autonomía o conflicto de roles.</w:t>
      </w:r>
    </w:p>
    <w:p w14:paraId="1B3F7DA4" w14:textId="7CFDB0BA" w:rsidR="00865ABB" w:rsidRDefault="00865ABB" w:rsidP="00865ABB">
      <w:pPr>
        <w:pStyle w:val="Prrafodelista"/>
        <w:numPr>
          <w:ilvl w:val="0"/>
          <w:numId w:val="6"/>
        </w:numPr>
      </w:pPr>
      <w:r w:rsidRPr="00865ABB">
        <w:rPr>
          <w:b/>
          <w:bCs/>
        </w:rPr>
        <w:t>Seguridad</w:t>
      </w:r>
      <w:r>
        <w:rPr>
          <w:b/>
          <w:bCs/>
        </w:rPr>
        <w:t xml:space="preserve">: </w:t>
      </w:r>
      <w:r w:rsidRPr="00865ABB">
        <w:t>Riesgos derivados de la instalación eléctrica o de los equipos (cables sueltos, riesgos de incendio</w:t>
      </w:r>
      <w:r>
        <w:t xml:space="preserve">, electrocuciones, </w:t>
      </w:r>
      <w:proofErr w:type="spellStart"/>
      <w:r>
        <w:t>etc</w:t>
      </w:r>
      <w:proofErr w:type="spellEnd"/>
      <w:r w:rsidRPr="00865ABB">
        <w:t>), y golpes o caídas al mismo nivel (resbalones).</w:t>
      </w:r>
    </w:p>
    <w:p w14:paraId="154BA50B" w14:textId="77777777" w:rsidR="00865ABB" w:rsidRDefault="00865ABB" w:rsidP="00865ABB"/>
    <w:p w14:paraId="328348B9" w14:textId="77777777" w:rsidR="00866423" w:rsidRDefault="00866423" w:rsidP="00865ABB"/>
    <w:p w14:paraId="4BA2EF7D" w14:textId="77777777" w:rsidR="00866423" w:rsidRDefault="00866423" w:rsidP="00865ABB"/>
    <w:p w14:paraId="243C2EDB" w14:textId="77777777" w:rsidR="00866423" w:rsidRDefault="00866423" w:rsidP="00865ABB"/>
    <w:p w14:paraId="71184817" w14:textId="77777777" w:rsidR="00866423" w:rsidRDefault="00866423" w:rsidP="00865ABB"/>
    <w:p w14:paraId="5331A6D5" w14:textId="77777777" w:rsidR="00866423" w:rsidRDefault="00866423" w:rsidP="00865ABB"/>
    <w:p w14:paraId="73F7B350" w14:textId="77777777" w:rsidR="00866423" w:rsidRDefault="00866423" w:rsidP="00865ABB"/>
    <w:p w14:paraId="21F6DAE7" w14:textId="77777777" w:rsidR="00866423" w:rsidRDefault="00866423" w:rsidP="00865ABB"/>
    <w:p w14:paraId="15628556" w14:textId="77777777" w:rsidR="00866423" w:rsidRDefault="00866423" w:rsidP="00865ABB"/>
    <w:p w14:paraId="02923074" w14:textId="77777777" w:rsidR="00866423" w:rsidRDefault="00866423" w:rsidP="00865ABB"/>
    <w:p w14:paraId="45B8CDA5" w14:textId="476FD475" w:rsidR="00865ABB" w:rsidRPr="00866423" w:rsidRDefault="00865ABB" w:rsidP="00865ABB">
      <w:pPr>
        <w:pStyle w:val="Prrafodelista"/>
        <w:numPr>
          <w:ilvl w:val="0"/>
          <w:numId w:val="14"/>
        </w:numPr>
        <w:rPr>
          <w:i/>
          <w:iCs/>
        </w:rPr>
      </w:pPr>
      <w:r w:rsidRPr="00866423">
        <w:rPr>
          <w:i/>
          <w:iCs/>
        </w:rPr>
        <w:lastRenderedPageBreak/>
        <w:t>Explica brevemente el Plan de Prevención de Riesgos que debería implementarse: medidas preventivas, vigilancia de la salud, formación obligatoria, evaluación de riesgos, etc.</w:t>
      </w:r>
    </w:p>
    <w:p w14:paraId="5AE6E795" w14:textId="3AC19E49" w:rsidR="00866423" w:rsidRPr="00866423" w:rsidRDefault="00866423" w:rsidP="00866423">
      <w:r>
        <w:t>Implantaremos en la empresa</w:t>
      </w:r>
      <w:r w:rsidRPr="00866423">
        <w:t xml:space="preserve"> un Plan de Prevención </w:t>
      </w:r>
      <w:r>
        <w:t xml:space="preserve">de Riesgos </w:t>
      </w:r>
      <w:r w:rsidRPr="00866423">
        <w:t>que incluye:</w:t>
      </w:r>
    </w:p>
    <w:p w14:paraId="674F142C" w14:textId="77777777" w:rsidR="00866423" w:rsidRPr="00866423" w:rsidRDefault="00866423" w:rsidP="00866423">
      <w:pPr>
        <w:numPr>
          <w:ilvl w:val="0"/>
          <w:numId w:val="15"/>
        </w:numPr>
      </w:pPr>
      <w:r w:rsidRPr="00866423">
        <w:rPr>
          <w:b/>
          <w:bCs/>
        </w:rPr>
        <w:t>Evaluación de Riesgos:</w:t>
      </w:r>
      <w:r w:rsidRPr="00866423">
        <w:t xml:space="preserve"> Identificación y valoración inicial de todos los riesgos específicos del puesto de trabajo (incluyendo los ergonómicos y psicosociales). Esta evaluación debe ser </w:t>
      </w:r>
      <w:r w:rsidRPr="00866423">
        <w:rPr>
          <w:b/>
          <w:bCs/>
        </w:rPr>
        <w:t>revisada periódicamente</w:t>
      </w:r>
      <w:r w:rsidRPr="00866423">
        <w:t>.</w:t>
      </w:r>
    </w:p>
    <w:p w14:paraId="5FC5BC0A" w14:textId="77777777" w:rsidR="00866423" w:rsidRPr="00866423" w:rsidRDefault="00866423" w:rsidP="00866423">
      <w:pPr>
        <w:numPr>
          <w:ilvl w:val="0"/>
          <w:numId w:val="15"/>
        </w:numPr>
      </w:pPr>
      <w:r w:rsidRPr="00866423">
        <w:rPr>
          <w:b/>
          <w:bCs/>
        </w:rPr>
        <w:t>Planificación de la Actividad Preventiva (Medidas Preventivas):</w:t>
      </w:r>
    </w:p>
    <w:p w14:paraId="3FCBC697" w14:textId="77777777" w:rsidR="00866423" w:rsidRPr="00866423" w:rsidRDefault="00866423" w:rsidP="00866423">
      <w:pPr>
        <w:numPr>
          <w:ilvl w:val="1"/>
          <w:numId w:val="15"/>
        </w:numPr>
      </w:pPr>
      <w:r w:rsidRPr="00866423">
        <w:rPr>
          <w:b/>
          <w:bCs/>
        </w:rPr>
        <w:t>Ergonomía:</w:t>
      </w:r>
      <w:r w:rsidRPr="00866423">
        <w:t xml:space="preserve"> Suministro de sillas ergonómicas, reposapiés, ratones y teclados adecuados. Promoción de pausas activas y de un diseño de puesto de trabajo óptimo (altura de mesa, distancia a la pantalla).</w:t>
      </w:r>
    </w:p>
    <w:p w14:paraId="078E6B78" w14:textId="6045271B" w:rsidR="00866423" w:rsidRPr="00866423" w:rsidRDefault="00866423" w:rsidP="00866423">
      <w:pPr>
        <w:numPr>
          <w:ilvl w:val="1"/>
          <w:numId w:val="15"/>
        </w:numPr>
      </w:pPr>
      <w:r w:rsidRPr="00866423">
        <w:rPr>
          <w:b/>
          <w:bCs/>
        </w:rPr>
        <w:t>Fatiga Visual:</w:t>
      </w:r>
      <w:r w:rsidRPr="00866423">
        <w:t xml:space="preserve"> Uso de filtros </w:t>
      </w:r>
      <w:r>
        <w:t xml:space="preserve">(o gafas) </w:t>
      </w:r>
      <w:r w:rsidRPr="00866423">
        <w:t>de pantalla, ajuste de brillo y contraste, y verificación periódica de la iluminación en el puesto.</w:t>
      </w:r>
    </w:p>
    <w:p w14:paraId="7DBDA18C" w14:textId="77777777" w:rsidR="00866423" w:rsidRPr="00866423" w:rsidRDefault="00866423" w:rsidP="00866423">
      <w:pPr>
        <w:numPr>
          <w:ilvl w:val="1"/>
          <w:numId w:val="15"/>
        </w:numPr>
      </w:pPr>
      <w:r w:rsidRPr="00866423">
        <w:rPr>
          <w:b/>
          <w:bCs/>
        </w:rPr>
        <w:t>Riesgos Psicosociales:</w:t>
      </w:r>
      <w:r w:rsidRPr="00866423">
        <w:t xml:space="preserve"> Diseño de cargas de trabajo razonables, fomento del equilibrio entre vida laboral y personal, y establecimiento de canales de comunicación efectivos.</w:t>
      </w:r>
    </w:p>
    <w:p w14:paraId="6EEB7895" w14:textId="5CA4EC0E" w:rsidR="00866423" w:rsidRPr="00866423" w:rsidRDefault="00866423" w:rsidP="00866423">
      <w:pPr>
        <w:numPr>
          <w:ilvl w:val="0"/>
          <w:numId w:val="15"/>
        </w:numPr>
      </w:pPr>
      <w:r w:rsidRPr="00866423">
        <w:rPr>
          <w:b/>
          <w:bCs/>
        </w:rPr>
        <w:t>Vigilancia de la Salud:</w:t>
      </w:r>
      <w:r w:rsidRPr="00866423">
        <w:t xml:space="preserve"> Reconocimientos médicos específicos para los riesgos del puesto que son </w:t>
      </w:r>
      <w:r w:rsidRPr="00866423">
        <w:rPr>
          <w:b/>
          <w:bCs/>
        </w:rPr>
        <w:t>voluntarios</w:t>
      </w:r>
      <w:r w:rsidRPr="00866423">
        <w:t xml:space="preserve"> para el empleado</w:t>
      </w:r>
      <w:r w:rsidR="009A1DBC">
        <w:t>.</w:t>
      </w:r>
    </w:p>
    <w:p w14:paraId="5A7DEEBA" w14:textId="5F541B1E" w:rsidR="00866423" w:rsidRPr="00866423" w:rsidRDefault="00866423" w:rsidP="00866423">
      <w:pPr>
        <w:numPr>
          <w:ilvl w:val="0"/>
          <w:numId w:val="15"/>
        </w:numPr>
      </w:pPr>
      <w:r w:rsidRPr="00866423">
        <w:rPr>
          <w:b/>
          <w:bCs/>
        </w:rPr>
        <w:t>Formación e Información Obligatoria:</w:t>
      </w:r>
      <w:r w:rsidRPr="00866423">
        <w:t xml:space="preserve"> Formar a los empleados sobre los riesgos específicos de su puesto (cómo ajustar la silla, cómo gestionar el estrés, plan de evacuación) y las medidas preventivas adoptadas.</w:t>
      </w:r>
    </w:p>
    <w:p w14:paraId="2C3C467D" w14:textId="07F68AA1" w:rsidR="00866423" w:rsidRPr="00866423" w:rsidRDefault="00866423" w:rsidP="00866423">
      <w:pPr>
        <w:numPr>
          <w:ilvl w:val="0"/>
          <w:numId w:val="15"/>
        </w:numPr>
      </w:pPr>
      <w:r w:rsidRPr="00866423">
        <w:rPr>
          <w:b/>
          <w:bCs/>
        </w:rPr>
        <w:t>Organización de la Prevención:</w:t>
      </w:r>
      <w:r w:rsidRPr="00866423">
        <w:t xml:space="preserve"> La empresa debe designar recursos para la prevención, ya sea mediante</w:t>
      </w:r>
      <w:r w:rsidR="00DE5C9B">
        <w:t xml:space="preserve"> la propia</w:t>
      </w:r>
      <w:r w:rsidRPr="00866423">
        <w:t xml:space="preserve"> actividad por</w:t>
      </w:r>
      <w:r w:rsidR="00DE5C9B">
        <w:t xml:space="preserve"> parte</w:t>
      </w:r>
      <w:r w:rsidRPr="00866423">
        <w:t xml:space="preserve"> el empresario</w:t>
      </w:r>
      <w:r w:rsidR="00DE5C9B">
        <w:t xml:space="preserve"> (nosotros)</w:t>
      </w:r>
      <w:r w:rsidRPr="00866423">
        <w:t xml:space="preserve">, la designación de trabajadores o la contratación de un </w:t>
      </w:r>
      <w:r w:rsidRPr="00866423">
        <w:rPr>
          <w:b/>
          <w:bCs/>
        </w:rPr>
        <w:t>Servicio de Prevención Ajeno (SPA)</w:t>
      </w:r>
      <w:r w:rsidRPr="00866423">
        <w:t>, que es lo más habitual para una S.L. en este sector.</w:t>
      </w:r>
    </w:p>
    <w:p w14:paraId="562670B2" w14:textId="77777777" w:rsidR="004D076B" w:rsidRPr="00FE02E1" w:rsidRDefault="004D076B" w:rsidP="00FE02E1"/>
    <w:sectPr w:rsidR="004D076B" w:rsidRPr="00FE02E1" w:rsidSect="001F29F9">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B0412C" w14:textId="77777777" w:rsidR="001541A7" w:rsidRDefault="001541A7" w:rsidP="00BA4101">
      <w:pPr>
        <w:spacing w:after="0" w:line="240" w:lineRule="auto"/>
      </w:pPr>
      <w:r>
        <w:separator/>
      </w:r>
    </w:p>
  </w:endnote>
  <w:endnote w:type="continuationSeparator" w:id="0">
    <w:p w14:paraId="75454516" w14:textId="77777777" w:rsidR="001541A7" w:rsidRDefault="001541A7" w:rsidP="00BA41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9C8F3F" w14:textId="77777777" w:rsidR="001541A7" w:rsidRDefault="001541A7" w:rsidP="00BA4101">
      <w:pPr>
        <w:spacing w:after="0" w:line="240" w:lineRule="auto"/>
      </w:pPr>
      <w:r>
        <w:separator/>
      </w:r>
    </w:p>
  </w:footnote>
  <w:footnote w:type="continuationSeparator" w:id="0">
    <w:p w14:paraId="54FDF235" w14:textId="77777777" w:rsidR="001541A7" w:rsidRDefault="001541A7" w:rsidP="00BA4101">
      <w:pPr>
        <w:spacing w:after="0" w:line="240" w:lineRule="auto"/>
      </w:pPr>
      <w:r>
        <w:continuationSeparator/>
      </w:r>
    </w:p>
  </w:footnote>
  <w:footnote w:id="1">
    <w:p w14:paraId="74ED8CC0" w14:textId="6A3A4BCE" w:rsidR="00BA4101" w:rsidRDefault="00BA4101">
      <w:pPr>
        <w:pStyle w:val="Textonotapie"/>
      </w:pPr>
      <w:r>
        <w:rPr>
          <w:rStyle w:val="Refdenotaalpie"/>
        </w:rPr>
        <w:footnoteRef/>
      </w:r>
      <w:r>
        <w:t xml:space="preserve"> </w:t>
      </w:r>
      <w:hyperlink r:id="rId1" w:history="1">
        <w:r w:rsidRPr="003A663C">
          <w:rPr>
            <w:rStyle w:val="Hipervnculo"/>
          </w:rPr>
          <w:t>https://www.infoautonomos.com/tipos-de-sociedades/sociedad-limitada-caracteristicas-ventajas/</w:t>
        </w:r>
      </w:hyperlink>
      <w:r>
        <w:t xml:space="preserve"> </w:t>
      </w:r>
    </w:p>
  </w:footnote>
  <w:footnote w:id="2">
    <w:p w14:paraId="6AE868E8" w14:textId="498B18CF" w:rsidR="00602646" w:rsidRDefault="00602646">
      <w:pPr>
        <w:pStyle w:val="Textonotapie"/>
      </w:pPr>
      <w:r>
        <w:rPr>
          <w:rStyle w:val="Refdenotaalpie"/>
        </w:rPr>
        <w:footnoteRef/>
      </w:r>
      <w:r>
        <w:t xml:space="preserve"> </w:t>
      </w:r>
      <w:hyperlink r:id="rId2" w:history="1">
        <w:r w:rsidRPr="003A663C">
          <w:rPr>
            <w:rStyle w:val="Hipervnculo"/>
          </w:rPr>
          <w:t>https://declarando.es/blog/impuestos-sociedad-limitada</w:t>
        </w:r>
      </w:hyperlink>
      <w:r>
        <w:t xml:space="preserve"> </w:t>
      </w:r>
    </w:p>
  </w:footnote>
  <w:footnote w:id="3">
    <w:p w14:paraId="113D0B6E" w14:textId="6A87D657" w:rsidR="0075643B" w:rsidRDefault="0075643B">
      <w:pPr>
        <w:pStyle w:val="Textonotapie"/>
      </w:pPr>
      <w:r>
        <w:rPr>
          <w:rStyle w:val="Refdenotaalpie"/>
        </w:rPr>
        <w:footnoteRef/>
      </w:r>
      <w:r>
        <w:t xml:space="preserve"> </w:t>
      </w:r>
      <w:hyperlink r:id="rId3" w:history="1">
        <w:r w:rsidRPr="003A663C">
          <w:rPr>
            <w:rStyle w:val="Hipervnculo"/>
          </w:rPr>
          <w:t>https://sabbatic.es/blog/modelo-303-iva/</w:t>
        </w:r>
      </w:hyperlink>
      <w:r>
        <w:t xml:space="preserve"> </w:t>
      </w:r>
    </w:p>
  </w:footnote>
  <w:footnote w:id="4">
    <w:p w14:paraId="64AE0F22" w14:textId="3B2A263B" w:rsidR="0075643B" w:rsidRDefault="0075643B">
      <w:pPr>
        <w:pStyle w:val="Textonotapie"/>
      </w:pPr>
      <w:r>
        <w:rPr>
          <w:rStyle w:val="Refdenotaalpie"/>
        </w:rPr>
        <w:footnoteRef/>
      </w:r>
      <w:r>
        <w:t xml:space="preserve"> </w:t>
      </w:r>
      <w:hyperlink r:id="rId4" w:history="1">
        <w:r w:rsidRPr="003A663C">
          <w:rPr>
            <w:rStyle w:val="Hipervnculo"/>
          </w:rPr>
          <w:t>https://www.captio.net/blog/las-claves-del-modelo-303-de-autoliquidacion-del-iva</w:t>
        </w:r>
      </w:hyperlink>
      <w:r>
        <w:t xml:space="preserve"> </w:t>
      </w:r>
    </w:p>
  </w:footnote>
  <w:footnote w:id="5">
    <w:p w14:paraId="54754866" w14:textId="5F43E038" w:rsidR="003F20AB" w:rsidRDefault="003F20AB">
      <w:pPr>
        <w:pStyle w:val="Textonotapie"/>
      </w:pPr>
      <w:r>
        <w:rPr>
          <w:rStyle w:val="Refdenotaalpie"/>
        </w:rPr>
        <w:footnoteRef/>
      </w:r>
      <w:r>
        <w:t xml:space="preserve"> </w:t>
      </w:r>
      <w:hyperlink r:id="rId5" w:history="1">
        <w:r w:rsidRPr="003A663C">
          <w:rPr>
            <w:rStyle w:val="Hipervnculo"/>
          </w:rPr>
          <w:t>https://www.wolterskluwer.com/es-es/expert-insights/para-que-sirve-el-modelo-202-y-quien-esta-obligado-a-presentarlo</w:t>
        </w:r>
      </w:hyperlink>
      <w:r>
        <w:t xml:space="preserve"> </w:t>
      </w:r>
    </w:p>
  </w:footnote>
  <w:footnote w:id="6">
    <w:p w14:paraId="32BD1E96" w14:textId="691A115A" w:rsidR="005732CD" w:rsidRDefault="005732CD">
      <w:pPr>
        <w:pStyle w:val="Textonotapie"/>
      </w:pPr>
      <w:r>
        <w:rPr>
          <w:rStyle w:val="Refdenotaalpie"/>
        </w:rPr>
        <w:footnoteRef/>
      </w:r>
      <w:r>
        <w:t xml:space="preserve"> </w:t>
      </w:r>
      <w:hyperlink r:id="rId6" w:history="1">
        <w:r w:rsidRPr="003A663C">
          <w:rPr>
            <w:rStyle w:val="Hipervnculo"/>
          </w:rPr>
          <w:t>https://www.wolterskluwer.com/es-es/expert-insights/puntos-clave-del-registro-horario</w:t>
        </w:r>
      </w:hyperlink>
      <w:r>
        <w:t xml:space="preserve"> </w:t>
      </w:r>
    </w:p>
  </w:footnote>
  <w:footnote w:id="7">
    <w:p w14:paraId="6C5E3265" w14:textId="61123694" w:rsidR="00980898" w:rsidRDefault="00980898">
      <w:pPr>
        <w:pStyle w:val="Textonotapie"/>
      </w:pPr>
      <w:r>
        <w:rPr>
          <w:rStyle w:val="Refdenotaalpie"/>
        </w:rPr>
        <w:footnoteRef/>
      </w:r>
      <w:r>
        <w:t xml:space="preserve"> </w:t>
      </w:r>
      <w:hyperlink r:id="rId7" w:history="1">
        <w:r w:rsidRPr="003A663C">
          <w:rPr>
            <w:rStyle w:val="Hipervnculo"/>
          </w:rPr>
          <w:t>https://www.wolterskluwer.com/es-es/expert-insights/registro-retributivo-como-cumplirlo#registro</w:t>
        </w:r>
      </w:hyperlink>
      <w:r>
        <w:t xml:space="preserve"> </w:t>
      </w:r>
    </w:p>
  </w:footnote>
  <w:footnote w:id="8">
    <w:p w14:paraId="739AE939" w14:textId="3C9D089C" w:rsidR="004D076B" w:rsidRDefault="004D076B">
      <w:pPr>
        <w:pStyle w:val="Textonotapie"/>
      </w:pPr>
      <w:r>
        <w:rPr>
          <w:rStyle w:val="Refdenotaalpie"/>
        </w:rPr>
        <w:footnoteRef/>
      </w:r>
      <w:r>
        <w:t xml:space="preserve"> </w:t>
      </w:r>
      <w:hyperlink r:id="rId8" w:history="1">
        <w:r w:rsidRPr="003A663C">
          <w:rPr>
            <w:rStyle w:val="Hipervnculo"/>
          </w:rPr>
          <w:t>https://www.mutua-intercomarcal.com/portal/noticia/2381/Riesgos-en-el-sector-de-la-informatica</w:t>
        </w:r>
      </w:hyperlink>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7F7F7F" w:themeColor="background1" w:themeShade="7F"/>
        <w:spacing w:val="60"/>
      </w:rPr>
      <w:id w:val="-882092260"/>
      <w:docPartObj>
        <w:docPartGallery w:val="Page Numbers (Top of Page)"/>
        <w:docPartUnique/>
      </w:docPartObj>
    </w:sdtPr>
    <w:sdtEndPr>
      <w:rPr>
        <w:b/>
        <w:bCs/>
        <w:color w:val="auto"/>
        <w:spacing w:val="0"/>
      </w:rPr>
    </w:sdtEndPr>
    <w:sdtContent>
      <w:p w14:paraId="1E9ECF2F" w14:textId="48865D50" w:rsidR="001F29F9" w:rsidRDefault="001F29F9">
        <w:pPr>
          <w:pStyle w:val="Encabezado"/>
          <w:pBdr>
            <w:bottom w:val="single" w:sz="4" w:space="1" w:color="D9D9D9" w:themeColor="background1" w:themeShade="D9"/>
          </w:pBdr>
          <w:jc w:val="right"/>
          <w:rPr>
            <w:b/>
            <w:bCs/>
          </w:rPr>
        </w:pPr>
        <w:r>
          <w:rPr>
            <w:color w:val="7F7F7F" w:themeColor="background1" w:themeShade="7F"/>
            <w:spacing w:val="60"/>
          </w:rPr>
          <w:t>Página</w:t>
        </w:r>
        <w:r>
          <w:t xml:space="preserve"> | </w:t>
        </w:r>
        <w:r>
          <w:fldChar w:fldCharType="begin"/>
        </w:r>
        <w:r>
          <w:instrText>PAGE   \* MERGEFORMAT</w:instrText>
        </w:r>
        <w:r>
          <w:fldChar w:fldCharType="separate"/>
        </w:r>
        <w:r>
          <w:rPr>
            <w:b/>
            <w:bCs/>
          </w:rPr>
          <w:t>2</w:t>
        </w:r>
        <w:r>
          <w:rPr>
            <w:b/>
            <w:bCs/>
          </w:rPr>
          <w:fldChar w:fldCharType="end"/>
        </w:r>
      </w:p>
    </w:sdtContent>
  </w:sdt>
  <w:p w14:paraId="2A7C91E4" w14:textId="77777777" w:rsidR="001F29F9" w:rsidRDefault="001F29F9">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7F7F7F" w:themeColor="background1" w:themeShade="7F"/>
        <w:spacing w:val="60"/>
      </w:rPr>
      <w:id w:val="-28564272"/>
      <w:docPartObj>
        <w:docPartGallery w:val="Page Numbers (Top of Page)"/>
        <w:docPartUnique/>
      </w:docPartObj>
    </w:sdtPr>
    <w:sdtEndPr>
      <w:rPr>
        <w:b/>
        <w:bCs/>
        <w:color w:val="auto"/>
        <w:spacing w:val="0"/>
      </w:rPr>
    </w:sdtEndPr>
    <w:sdtContent>
      <w:p w14:paraId="373E2625" w14:textId="74370E27" w:rsidR="001F29F9" w:rsidRDefault="001F29F9">
        <w:pPr>
          <w:pStyle w:val="Encabezado"/>
          <w:pBdr>
            <w:bottom w:val="single" w:sz="4" w:space="1" w:color="D9D9D9" w:themeColor="background1" w:themeShade="D9"/>
          </w:pBdr>
          <w:jc w:val="right"/>
          <w:rPr>
            <w:b/>
            <w:bCs/>
          </w:rPr>
        </w:pPr>
        <w:r>
          <w:rPr>
            <w:color w:val="7F7F7F" w:themeColor="background1" w:themeShade="7F"/>
            <w:spacing w:val="60"/>
          </w:rPr>
          <w:t>Página</w:t>
        </w:r>
        <w:r>
          <w:t xml:space="preserve"> | </w:t>
        </w:r>
        <w:r>
          <w:fldChar w:fldCharType="begin"/>
        </w:r>
        <w:r>
          <w:instrText>PAGE   \* MERGEFORMAT</w:instrText>
        </w:r>
        <w:r>
          <w:fldChar w:fldCharType="separate"/>
        </w:r>
        <w:r>
          <w:rPr>
            <w:b/>
            <w:bCs/>
          </w:rPr>
          <w:t>2</w:t>
        </w:r>
        <w:r>
          <w:rPr>
            <w:b/>
            <w:bCs/>
          </w:rPr>
          <w:fldChar w:fldCharType="end"/>
        </w:r>
      </w:p>
    </w:sdtContent>
  </w:sdt>
  <w:p w14:paraId="329EE2B2" w14:textId="77777777" w:rsidR="001F29F9" w:rsidRDefault="001F29F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DD433A"/>
    <w:multiLevelType w:val="hybridMultilevel"/>
    <w:tmpl w:val="F9C8F57E"/>
    <w:lvl w:ilvl="0" w:tplc="8BB62E60">
      <w:start w:val="1"/>
      <w:numFmt w:val="decimal"/>
      <w:lvlText w:val="%1)"/>
      <w:lvlJc w:val="left"/>
      <w:pPr>
        <w:ind w:left="720" w:hanging="360"/>
      </w:pPr>
      <w:rPr>
        <w:rFonts w:hint="default"/>
        <w:b/>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07A757F"/>
    <w:multiLevelType w:val="multilevel"/>
    <w:tmpl w:val="A7F26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8151FF"/>
    <w:multiLevelType w:val="hybridMultilevel"/>
    <w:tmpl w:val="5586471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BDC2F02"/>
    <w:multiLevelType w:val="multilevel"/>
    <w:tmpl w:val="4F189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9A5136"/>
    <w:multiLevelType w:val="multilevel"/>
    <w:tmpl w:val="860CF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61253F"/>
    <w:multiLevelType w:val="hybridMultilevel"/>
    <w:tmpl w:val="0C0C67B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5381B9B"/>
    <w:multiLevelType w:val="hybridMultilevel"/>
    <w:tmpl w:val="9A1C9EE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78A1573"/>
    <w:multiLevelType w:val="multilevel"/>
    <w:tmpl w:val="088AD9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AF7197"/>
    <w:multiLevelType w:val="multilevel"/>
    <w:tmpl w:val="1570B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EA751D"/>
    <w:multiLevelType w:val="hybridMultilevel"/>
    <w:tmpl w:val="4220113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55D79AA"/>
    <w:multiLevelType w:val="hybridMultilevel"/>
    <w:tmpl w:val="72FCD042"/>
    <w:lvl w:ilvl="0" w:tplc="3418E3D8">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87D6419"/>
    <w:multiLevelType w:val="hybridMultilevel"/>
    <w:tmpl w:val="B38A27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4DD11D7"/>
    <w:multiLevelType w:val="multilevel"/>
    <w:tmpl w:val="28944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B3B5BAF"/>
    <w:multiLevelType w:val="hybridMultilevel"/>
    <w:tmpl w:val="16DC645E"/>
    <w:lvl w:ilvl="0" w:tplc="7E82D2FE">
      <w:start w:val="1"/>
      <w:numFmt w:val="decimal"/>
      <w:lvlText w:val="%1."/>
      <w:lvlJc w:val="left"/>
      <w:pPr>
        <w:ind w:left="750" w:hanging="3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BB64E77"/>
    <w:multiLevelType w:val="multilevel"/>
    <w:tmpl w:val="EFE85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798929">
    <w:abstractNumId w:val="13"/>
  </w:num>
  <w:num w:numId="2" w16cid:durableId="379670880">
    <w:abstractNumId w:val="5"/>
  </w:num>
  <w:num w:numId="3" w16cid:durableId="1452360638">
    <w:abstractNumId w:val="4"/>
  </w:num>
  <w:num w:numId="4" w16cid:durableId="1478523562">
    <w:abstractNumId w:val="3"/>
  </w:num>
  <w:num w:numId="5" w16cid:durableId="1179809009">
    <w:abstractNumId w:val="0"/>
  </w:num>
  <w:num w:numId="6" w16cid:durableId="470827666">
    <w:abstractNumId w:val="10"/>
  </w:num>
  <w:num w:numId="7" w16cid:durableId="323976772">
    <w:abstractNumId w:val="11"/>
  </w:num>
  <w:num w:numId="8" w16cid:durableId="1629429286">
    <w:abstractNumId w:val="9"/>
  </w:num>
  <w:num w:numId="9" w16cid:durableId="1411926881">
    <w:abstractNumId w:val="1"/>
  </w:num>
  <w:num w:numId="10" w16cid:durableId="947351669">
    <w:abstractNumId w:val="14"/>
  </w:num>
  <w:num w:numId="11" w16cid:durableId="1971325600">
    <w:abstractNumId w:val="12"/>
  </w:num>
  <w:num w:numId="12" w16cid:durableId="472989425">
    <w:abstractNumId w:val="6"/>
  </w:num>
  <w:num w:numId="13" w16cid:durableId="90977973">
    <w:abstractNumId w:val="8"/>
  </w:num>
  <w:num w:numId="14" w16cid:durableId="473183879">
    <w:abstractNumId w:val="2"/>
  </w:num>
  <w:num w:numId="15" w16cid:durableId="208983832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02A9"/>
    <w:rsid w:val="00004349"/>
    <w:rsid w:val="00031D01"/>
    <w:rsid w:val="0003377A"/>
    <w:rsid w:val="00055C75"/>
    <w:rsid w:val="000C2461"/>
    <w:rsid w:val="00103812"/>
    <w:rsid w:val="001541A7"/>
    <w:rsid w:val="001F29F9"/>
    <w:rsid w:val="002142DA"/>
    <w:rsid w:val="00261940"/>
    <w:rsid w:val="0027578B"/>
    <w:rsid w:val="003328B7"/>
    <w:rsid w:val="003B1CBD"/>
    <w:rsid w:val="003F20AB"/>
    <w:rsid w:val="004619D5"/>
    <w:rsid w:val="004B16E8"/>
    <w:rsid w:val="004D076B"/>
    <w:rsid w:val="00562981"/>
    <w:rsid w:val="005732CD"/>
    <w:rsid w:val="00581DF4"/>
    <w:rsid w:val="00602646"/>
    <w:rsid w:val="00635E47"/>
    <w:rsid w:val="00661A20"/>
    <w:rsid w:val="006D1081"/>
    <w:rsid w:val="00716609"/>
    <w:rsid w:val="0075643B"/>
    <w:rsid w:val="00782614"/>
    <w:rsid w:val="007D471C"/>
    <w:rsid w:val="008331F8"/>
    <w:rsid w:val="00865ABB"/>
    <w:rsid w:val="00866423"/>
    <w:rsid w:val="009702E2"/>
    <w:rsid w:val="00980898"/>
    <w:rsid w:val="009A1DBC"/>
    <w:rsid w:val="00A302A9"/>
    <w:rsid w:val="00AB0F96"/>
    <w:rsid w:val="00AC673F"/>
    <w:rsid w:val="00B818BC"/>
    <w:rsid w:val="00BA2FDC"/>
    <w:rsid w:val="00BA4101"/>
    <w:rsid w:val="00C13767"/>
    <w:rsid w:val="00C82ABA"/>
    <w:rsid w:val="00CB5910"/>
    <w:rsid w:val="00CC23CE"/>
    <w:rsid w:val="00DE0363"/>
    <w:rsid w:val="00DE5C9B"/>
    <w:rsid w:val="00DF4AF9"/>
    <w:rsid w:val="00E0513A"/>
    <w:rsid w:val="00E36CD2"/>
    <w:rsid w:val="00F35658"/>
    <w:rsid w:val="00F65996"/>
    <w:rsid w:val="00FC6B0C"/>
    <w:rsid w:val="00FD2889"/>
    <w:rsid w:val="00FE02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11EC75"/>
  <w15:chartTrackingRefBased/>
  <w15:docId w15:val="{81672F8B-E343-460A-820C-DA9D39B65F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
    </w:rPr>
  </w:style>
  <w:style w:type="paragraph" w:styleId="Ttulo1">
    <w:name w:val="heading 1"/>
    <w:basedOn w:val="Normal"/>
    <w:next w:val="Normal"/>
    <w:link w:val="Ttulo1Car"/>
    <w:uiPriority w:val="9"/>
    <w:qFormat/>
    <w:rsid w:val="00A302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302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302A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302A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302A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302A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302A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302A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302A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302A9"/>
    <w:rPr>
      <w:rFonts w:asciiTheme="majorHAnsi" w:eastAsiaTheme="majorEastAsia" w:hAnsiTheme="majorHAnsi" w:cstheme="majorBidi"/>
      <w:color w:val="0F4761" w:themeColor="accent1" w:themeShade="BF"/>
      <w:sz w:val="40"/>
      <w:szCs w:val="40"/>
      <w:lang w:val="es-ES"/>
    </w:rPr>
  </w:style>
  <w:style w:type="character" w:customStyle="1" w:styleId="Ttulo2Car">
    <w:name w:val="Título 2 Car"/>
    <w:basedOn w:val="Fuentedeprrafopredeter"/>
    <w:link w:val="Ttulo2"/>
    <w:uiPriority w:val="9"/>
    <w:semiHidden/>
    <w:rsid w:val="00A302A9"/>
    <w:rPr>
      <w:rFonts w:asciiTheme="majorHAnsi" w:eastAsiaTheme="majorEastAsia" w:hAnsiTheme="majorHAnsi" w:cstheme="majorBidi"/>
      <w:color w:val="0F4761" w:themeColor="accent1" w:themeShade="BF"/>
      <w:sz w:val="32"/>
      <w:szCs w:val="32"/>
      <w:lang w:val="es-ES"/>
    </w:rPr>
  </w:style>
  <w:style w:type="character" w:customStyle="1" w:styleId="Ttulo3Car">
    <w:name w:val="Título 3 Car"/>
    <w:basedOn w:val="Fuentedeprrafopredeter"/>
    <w:link w:val="Ttulo3"/>
    <w:uiPriority w:val="9"/>
    <w:semiHidden/>
    <w:rsid w:val="00A302A9"/>
    <w:rPr>
      <w:rFonts w:eastAsiaTheme="majorEastAsia" w:cstheme="majorBidi"/>
      <w:color w:val="0F4761" w:themeColor="accent1" w:themeShade="BF"/>
      <w:sz w:val="28"/>
      <w:szCs w:val="28"/>
      <w:lang w:val="es-ES"/>
    </w:rPr>
  </w:style>
  <w:style w:type="character" w:customStyle="1" w:styleId="Ttulo4Car">
    <w:name w:val="Título 4 Car"/>
    <w:basedOn w:val="Fuentedeprrafopredeter"/>
    <w:link w:val="Ttulo4"/>
    <w:uiPriority w:val="9"/>
    <w:semiHidden/>
    <w:rsid w:val="00A302A9"/>
    <w:rPr>
      <w:rFonts w:eastAsiaTheme="majorEastAsia" w:cstheme="majorBidi"/>
      <w:i/>
      <w:iCs/>
      <w:color w:val="0F4761" w:themeColor="accent1" w:themeShade="BF"/>
      <w:lang w:val="es-ES"/>
    </w:rPr>
  </w:style>
  <w:style w:type="character" w:customStyle="1" w:styleId="Ttulo5Car">
    <w:name w:val="Título 5 Car"/>
    <w:basedOn w:val="Fuentedeprrafopredeter"/>
    <w:link w:val="Ttulo5"/>
    <w:uiPriority w:val="9"/>
    <w:semiHidden/>
    <w:rsid w:val="00A302A9"/>
    <w:rPr>
      <w:rFonts w:eastAsiaTheme="majorEastAsia" w:cstheme="majorBidi"/>
      <w:color w:val="0F4761" w:themeColor="accent1" w:themeShade="BF"/>
      <w:lang w:val="es-ES"/>
    </w:rPr>
  </w:style>
  <w:style w:type="character" w:customStyle="1" w:styleId="Ttulo6Car">
    <w:name w:val="Título 6 Car"/>
    <w:basedOn w:val="Fuentedeprrafopredeter"/>
    <w:link w:val="Ttulo6"/>
    <w:uiPriority w:val="9"/>
    <w:semiHidden/>
    <w:rsid w:val="00A302A9"/>
    <w:rPr>
      <w:rFonts w:eastAsiaTheme="majorEastAsia" w:cstheme="majorBidi"/>
      <w:i/>
      <w:iCs/>
      <w:color w:val="595959" w:themeColor="text1" w:themeTint="A6"/>
      <w:lang w:val="es-ES"/>
    </w:rPr>
  </w:style>
  <w:style w:type="character" w:customStyle="1" w:styleId="Ttulo7Car">
    <w:name w:val="Título 7 Car"/>
    <w:basedOn w:val="Fuentedeprrafopredeter"/>
    <w:link w:val="Ttulo7"/>
    <w:uiPriority w:val="9"/>
    <w:semiHidden/>
    <w:rsid w:val="00A302A9"/>
    <w:rPr>
      <w:rFonts w:eastAsiaTheme="majorEastAsia" w:cstheme="majorBidi"/>
      <w:color w:val="595959" w:themeColor="text1" w:themeTint="A6"/>
      <w:lang w:val="es-ES"/>
    </w:rPr>
  </w:style>
  <w:style w:type="character" w:customStyle="1" w:styleId="Ttulo8Car">
    <w:name w:val="Título 8 Car"/>
    <w:basedOn w:val="Fuentedeprrafopredeter"/>
    <w:link w:val="Ttulo8"/>
    <w:uiPriority w:val="9"/>
    <w:semiHidden/>
    <w:rsid w:val="00A302A9"/>
    <w:rPr>
      <w:rFonts w:eastAsiaTheme="majorEastAsia" w:cstheme="majorBidi"/>
      <w:i/>
      <w:iCs/>
      <w:color w:val="272727" w:themeColor="text1" w:themeTint="D8"/>
      <w:lang w:val="es-ES"/>
    </w:rPr>
  </w:style>
  <w:style w:type="character" w:customStyle="1" w:styleId="Ttulo9Car">
    <w:name w:val="Título 9 Car"/>
    <w:basedOn w:val="Fuentedeprrafopredeter"/>
    <w:link w:val="Ttulo9"/>
    <w:uiPriority w:val="9"/>
    <w:semiHidden/>
    <w:rsid w:val="00A302A9"/>
    <w:rPr>
      <w:rFonts w:eastAsiaTheme="majorEastAsia" w:cstheme="majorBidi"/>
      <w:color w:val="272727" w:themeColor="text1" w:themeTint="D8"/>
      <w:lang w:val="es-ES"/>
    </w:rPr>
  </w:style>
  <w:style w:type="paragraph" w:styleId="Ttulo">
    <w:name w:val="Title"/>
    <w:basedOn w:val="Normal"/>
    <w:next w:val="Normal"/>
    <w:link w:val="TtuloCar"/>
    <w:uiPriority w:val="10"/>
    <w:qFormat/>
    <w:rsid w:val="00A302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302A9"/>
    <w:rPr>
      <w:rFonts w:asciiTheme="majorHAnsi" w:eastAsiaTheme="majorEastAsia" w:hAnsiTheme="majorHAnsi" w:cstheme="majorBidi"/>
      <w:spacing w:val="-10"/>
      <w:kern w:val="28"/>
      <w:sz w:val="56"/>
      <w:szCs w:val="56"/>
      <w:lang w:val="es-ES"/>
    </w:rPr>
  </w:style>
  <w:style w:type="paragraph" w:styleId="Subttulo">
    <w:name w:val="Subtitle"/>
    <w:basedOn w:val="Normal"/>
    <w:next w:val="Normal"/>
    <w:link w:val="SubttuloCar"/>
    <w:uiPriority w:val="11"/>
    <w:qFormat/>
    <w:rsid w:val="00A302A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302A9"/>
    <w:rPr>
      <w:rFonts w:eastAsiaTheme="majorEastAsia" w:cstheme="majorBidi"/>
      <w:color w:val="595959" w:themeColor="text1" w:themeTint="A6"/>
      <w:spacing w:val="15"/>
      <w:sz w:val="28"/>
      <w:szCs w:val="28"/>
      <w:lang w:val="es-ES"/>
    </w:rPr>
  </w:style>
  <w:style w:type="paragraph" w:styleId="Cita">
    <w:name w:val="Quote"/>
    <w:basedOn w:val="Normal"/>
    <w:next w:val="Normal"/>
    <w:link w:val="CitaCar"/>
    <w:uiPriority w:val="29"/>
    <w:qFormat/>
    <w:rsid w:val="00A302A9"/>
    <w:pPr>
      <w:spacing w:before="160"/>
      <w:jc w:val="center"/>
    </w:pPr>
    <w:rPr>
      <w:i/>
      <w:iCs/>
      <w:color w:val="404040" w:themeColor="text1" w:themeTint="BF"/>
    </w:rPr>
  </w:style>
  <w:style w:type="character" w:customStyle="1" w:styleId="CitaCar">
    <w:name w:val="Cita Car"/>
    <w:basedOn w:val="Fuentedeprrafopredeter"/>
    <w:link w:val="Cita"/>
    <w:uiPriority w:val="29"/>
    <w:rsid w:val="00A302A9"/>
    <w:rPr>
      <w:i/>
      <w:iCs/>
      <w:color w:val="404040" w:themeColor="text1" w:themeTint="BF"/>
      <w:lang w:val="es-ES"/>
    </w:rPr>
  </w:style>
  <w:style w:type="paragraph" w:styleId="Prrafodelista">
    <w:name w:val="List Paragraph"/>
    <w:basedOn w:val="Normal"/>
    <w:uiPriority w:val="34"/>
    <w:qFormat/>
    <w:rsid w:val="00A302A9"/>
    <w:pPr>
      <w:ind w:left="720"/>
      <w:contextualSpacing/>
    </w:pPr>
  </w:style>
  <w:style w:type="character" w:styleId="nfasisintenso">
    <w:name w:val="Intense Emphasis"/>
    <w:basedOn w:val="Fuentedeprrafopredeter"/>
    <w:uiPriority w:val="21"/>
    <w:qFormat/>
    <w:rsid w:val="00A302A9"/>
    <w:rPr>
      <w:i/>
      <w:iCs/>
      <w:color w:val="0F4761" w:themeColor="accent1" w:themeShade="BF"/>
    </w:rPr>
  </w:style>
  <w:style w:type="paragraph" w:styleId="Citadestacada">
    <w:name w:val="Intense Quote"/>
    <w:basedOn w:val="Normal"/>
    <w:next w:val="Normal"/>
    <w:link w:val="CitadestacadaCar"/>
    <w:uiPriority w:val="30"/>
    <w:qFormat/>
    <w:rsid w:val="00A302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302A9"/>
    <w:rPr>
      <w:i/>
      <w:iCs/>
      <w:color w:val="0F4761" w:themeColor="accent1" w:themeShade="BF"/>
      <w:lang w:val="es-ES"/>
    </w:rPr>
  </w:style>
  <w:style w:type="character" w:styleId="Referenciaintensa">
    <w:name w:val="Intense Reference"/>
    <w:basedOn w:val="Fuentedeprrafopredeter"/>
    <w:uiPriority w:val="32"/>
    <w:qFormat/>
    <w:rsid w:val="00A302A9"/>
    <w:rPr>
      <w:b/>
      <w:bCs/>
      <w:smallCaps/>
      <w:color w:val="0F4761" w:themeColor="accent1" w:themeShade="BF"/>
      <w:spacing w:val="5"/>
    </w:rPr>
  </w:style>
  <w:style w:type="paragraph" w:styleId="Sinespaciado">
    <w:name w:val="No Spacing"/>
    <w:link w:val="SinespaciadoCar"/>
    <w:uiPriority w:val="1"/>
    <w:qFormat/>
    <w:rsid w:val="00581DF4"/>
    <w:pPr>
      <w:spacing w:after="0" w:line="240" w:lineRule="auto"/>
    </w:pPr>
    <w:rPr>
      <w:rFonts w:eastAsiaTheme="minorEastAsia"/>
      <w:kern w:val="0"/>
      <w:sz w:val="22"/>
      <w:szCs w:val="22"/>
      <w14:ligatures w14:val="none"/>
    </w:rPr>
  </w:style>
  <w:style w:type="character" w:customStyle="1" w:styleId="SinespaciadoCar">
    <w:name w:val="Sin espaciado Car"/>
    <w:basedOn w:val="Fuentedeprrafopredeter"/>
    <w:link w:val="Sinespaciado"/>
    <w:uiPriority w:val="1"/>
    <w:rsid w:val="00581DF4"/>
    <w:rPr>
      <w:rFonts w:eastAsiaTheme="minorEastAsia"/>
      <w:kern w:val="0"/>
      <w:sz w:val="22"/>
      <w:szCs w:val="22"/>
      <w14:ligatures w14:val="none"/>
    </w:rPr>
  </w:style>
  <w:style w:type="paragraph" w:styleId="TtuloTDC">
    <w:name w:val="TOC Heading"/>
    <w:basedOn w:val="Ttulo1"/>
    <w:next w:val="Normal"/>
    <w:uiPriority w:val="39"/>
    <w:unhideWhenUsed/>
    <w:qFormat/>
    <w:rsid w:val="00581DF4"/>
    <w:pPr>
      <w:spacing w:before="240" w:after="0" w:line="259" w:lineRule="auto"/>
      <w:outlineLvl w:val="9"/>
    </w:pPr>
    <w:rPr>
      <w:kern w:val="0"/>
      <w:sz w:val="32"/>
      <w:szCs w:val="32"/>
      <w:lang w:val="en-US"/>
      <w14:ligatures w14:val="none"/>
    </w:rPr>
  </w:style>
  <w:style w:type="paragraph" w:styleId="Textonotapie">
    <w:name w:val="footnote text"/>
    <w:basedOn w:val="Normal"/>
    <w:link w:val="TextonotapieCar"/>
    <w:uiPriority w:val="99"/>
    <w:semiHidden/>
    <w:unhideWhenUsed/>
    <w:rsid w:val="00BA4101"/>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BA4101"/>
    <w:rPr>
      <w:sz w:val="20"/>
      <w:szCs w:val="20"/>
      <w:lang w:val="es-ES"/>
    </w:rPr>
  </w:style>
  <w:style w:type="character" w:styleId="Refdenotaalpie">
    <w:name w:val="footnote reference"/>
    <w:basedOn w:val="Fuentedeprrafopredeter"/>
    <w:uiPriority w:val="99"/>
    <w:semiHidden/>
    <w:unhideWhenUsed/>
    <w:rsid w:val="00BA4101"/>
    <w:rPr>
      <w:vertAlign w:val="superscript"/>
    </w:rPr>
  </w:style>
  <w:style w:type="character" w:styleId="Hipervnculo">
    <w:name w:val="Hyperlink"/>
    <w:basedOn w:val="Fuentedeprrafopredeter"/>
    <w:uiPriority w:val="99"/>
    <w:unhideWhenUsed/>
    <w:rsid w:val="00BA4101"/>
    <w:rPr>
      <w:color w:val="467886" w:themeColor="hyperlink"/>
      <w:u w:val="single"/>
    </w:rPr>
  </w:style>
  <w:style w:type="character" w:styleId="Mencinsinresolver">
    <w:name w:val="Unresolved Mention"/>
    <w:basedOn w:val="Fuentedeprrafopredeter"/>
    <w:uiPriority w:val="99"/>
    <w:semiHidden/>
    <w:unhideWhenUsed/>
    <w:rsid w:val="00BA4101"/>
    <w:rPr>
      <w:color w:val="605E5C"/>
      <w:shd w:val="clear" w:color="auto" w:fill="E1DFDD"/>
    </w:rPr>
  </w:style>
  <w:style w:type="paragraph" w:styleId="NormalWeb">
    <w:name w:val="Normal (Web)"/>
    <w:basedOn w:val="Normal"/>
    <w:uiPriority w:val="99"/>
    <w:semiHidden/>
    <w:unhideWhenUsed/>
    <w:rsid w:val="008331F8"/>
    <w:rPr>
      <w:rFonts w:ascii="Times New Roman" w:hAnsi="Times New Roman" w:cs="Times New Roman"/>
    </w:rPr>
  </w:style>
  <w:style w:type="paragraph" w:styleId="TDC1">
    <w:name w:val="toc 1"/>
    <w:basedOn w:val="Normal"/>
    <w:next w:val="Normal"/>
    <w:autoRedefine/>
    <w:uiPriority w:val="39"/>
    <w:unhideWhenUsed/>
    <w:rsid w:val="001F29F9"/>
    <w:pPr>
      <w:spacing w:after="100"/>
    </w:pPr>
  </w:style>
  <w:style w:type="paragraph" w:styleId="Encabezado">
    <w:name w:val="header"/>
    <w:basedOn w:val="Normal"/>
    <w:link w:val="EncabezadoCar"/>
    <w:uiPriority w:val="99"/>
    <w:unhideWhenUsed/>
    <w:rsid w:val="001F29F9"/>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1F29F9"/>
    <w:rPr>
      <w:lang w:val="es-ES"/>
    </w:rPr>
  </w:style>
  <w:style w:type="paragraph" w:styleId="Piedepgina">
    <w:name w:val="footer"/>
    <w:basedOn w:val="Normal"/>
    <w:link w:val="PiedepginaCar"/>
    <w:uiPriority w:val="99"/>
    <w:unhideWhenUsed/>
    <w:rsid w:val="001F29F9"/>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1F29F9"/>
    <w:rPr>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s>
</file>

<file path=word/_rels/footnotes.xml.rels><?xml version="1.0" encoding="UTF-8" standalone="yes"?>
<Relationships xmlns="http://schemas.openxmlformats.org/package/2006/relationships"><Relationship Id="rId8" Type="http://schemas.openxmlformats.org/officeDocument/2006/relationships/hyperlink" Target="https://www.mutua-intercomarcal.com/portal/noticia/2381/Riesgos-en-el-sector-de-la-informatica" TargetMode="External"/><Relationship Id="rId3" Type="http://schemas.openxmlformats.org/officeDocument/2006/relationships/hyperlink" Target="https://sabbatic.es/blog/modelo-303-iva/" TargetMode="External"/><Relationship Id="rId7" Type="http://schemas.openxmlformats.org/officeDocument/2006/relationships/hyperlink" Target="https://www.wolterskluwer.com/es-es/expert-insights/registro-retributivo-como-cumplirlo#registro" TargetMode="External"/><Relationship Id="rId2" Type="http://schemas.openxmlformats.org/officeDocument/2006/relationships/hyperlink" Target="https://declarando.es/blog/impuestos-sociedad-limitada" TargetMode="External"/><Relationship Id="rId1" Type="http://schemas.openxmlformats.org/officeDocument/2006/relationships/hyperlink" Target="https://www.infoautonomos.com/tipos-de-sociedades/sociedad-limitada-caracteristicas-ventajas/" TargetMode="External"/><Relationship Id="rId6" Type="http://schemas.openxmlformats.org/officeDocument/2006/relationships/hyperlink" Target="https://www.wolterskluwer.com/es-es/expert-insights/puntos-clave-del-registro-horario" TargetMode="External"/><Relationship Id="rId5" Type="http://schemas.openxmlformats.org/officeDocument/2006/relationships/hyperlink" Target="https://www.wolterskluwer.com/es-es/expert-insights/para-que-sirve-el-modelo-202-y-quien-esta-obligado-a-presentarlo" TargetMode="External"/><Relationship Id="rId4" Type="http://schemas.openxmlformats.org/officeDocument/2006/relationships/hyperlink" Target="https://www.captio.net/blog/las-claves-del-modelo-303-de-autoliquidacion-del-iva"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2º ASIR</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2FDC2C9-A5DE-4F07-BA15-1357E8BA85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138</TotalTime>
  <Pages>1</Pages>
  <Words>1851</Words>
  <Characters>10556</Characters>
  <Application>Microsoft Office Word</Application>
  <DocSecurity>0</DocSecurity>
  <Lines>87</Lines>
  <Paragraphs>24</Paragraphs>
  <ScaleCrop>false</ScaleCrop>
  <HeadingPairs>
    <vt:vector size="2" baseType="variant">
      <vt:variant>
        <vt:lpstr>Título</vt:lpstr>
      </vt:variant>
      <vt:variant>
        <vt:i4>1</vt:i4>
      </vt:variant>
    </vt:vector>
  </HeadingPairs>
  <TitlesOfParts>
    <vt:vector size="1" baseType="lpstr">
      <vt:lpstr/>
    </vt:vector>
  </TitlesOfParts>
  <Company>Proyecto Intermodular de Administración de Sistemas Informáticos en Red</Company>
  <LinksUpToDate>false</LinksUpToDate>
  <CharactersWithSpaces>12383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Tarea 6 - Obligaciones fiscales, laborales y de prevención de riesgos para el proyecto</dc:title>
  <dc:subject/>
  <dc:creator>Cristóbal Suárez Abad</dc:creator>
  <cp:keywords/>
  <dc:description/>
  <cp:lastModifiedBy>Cristóbal Suárez Abad</cp:lastModifiedBy>
  <cp:revision>53</cp:revision>
  <cp:lastPrinted>2025-11-29T17:49:00Z</cp:lastPrinted>
  <dcterms:created xsi:type="dcterms:W3CDTF">2025-11-29T15:31:00Z</dcterms:created>
  <dcterms:modified xsi:type="dcterms:W3CDTF">2025-11-29T17:49:00Z</dcterms:modified>
</cp:coreProperties>
</file>