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1.Nombre:................................................................................  Fecha: 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rtl w:val="0"/>
        </w:rPr>
        <w:t xml:space="preserve">SERVICIO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 el siguiente diagrama en GNS3:                     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525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El direccionamiento de las LANs será: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Switch1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10.10.X*2.0/23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Switch2 10.12.X.32/27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LAN Switch3 10.8.X.96/28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donde X es vuestro número de lista.</w:t>
      </w:r>
    </w:p>
    <w:p w:rsidR="00000000" w:rsidDel="00000000" w:rsidP="00000000" w:rsidRDefault="00000000" w:rsidRPr="00000000" w14:paraId="0000000B">
      <w:pPr>
        <w:jc w:val="both"/>
        <w:rPr>
          <w:rFonts w:ascii="Oi" w:cs="Oi" w:eastAsia="Oi" w:hAnsi="O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(0.5 pts.) Establece la configuración de red necesaria en los servidores  DHCP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rtl w:val="0"/>
        </w:rPr>
        <w:t xml:space="preserve">las rutas estáticas necesarias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para conectar con las redes bajo R1.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(1 pts) Realiza la configuración de red necesaria en R1 para que las peticiones DHCP de las LAN de SW1 y SW2 alcancen el servidor DHCP.</w:t>
      </w:r>
    </w:p>
    <w:p w:rsidR="00000000" w:rsidDel="00000000" w:rsidP="00000000" w:rsidRDefault="00000000" w:rsidRPr="00000000" w14:paraId="0000000F">
      <w:pPr>
        <w:spacing w:line="276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(3 pts.) Instala el servicio DHCP en los servidores DHCP y configura lo necesario para que se reparta entre ambos (50%/50%) la configuración de red a los equipos de las LAN SW1 y SW2, con las siguientes especificaciones: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Asignar un rango que deje 4 ips para uso como estáticas o reservas.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Duración de la concesión: 18 horas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Servidores DNS: 9.9.9.9 y 7.7.5.5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 una puerta de enlace lógica válida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Dominio “make.it”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Ambos servidores serán autoritarios.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(2 pts.) Configura lo necesario para que R1 sea el servidor DHCP de la LAN del SW3.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Asignar un rango que deje 3 ips para uso como estáticas o reservas.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Duración de la concesión: 9 horas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Servidores DNS: 9.9.9.9 y 2.2.2.2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Asigna una puerta de enlace lógica válida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line="276" w:lineRule="auto"/>
        <w:ind w:left="2160" w:hanging="36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Dominio “agar.io”</w:t>
      </w:r>
    </w:p>
    <w:p w:rsidR="00000000" w:rsidDel="00000000" w:rsidP="00000000" w:rsidRDefault="00000000" w:rsidRPr="00000000" w14:paraId="0000001E">
      <w:pPr>
        <w:spacing w:line="276" w:lineRule="auto"/>
        <w:ind w:left="2160" w:firstLine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(1 pts.) Enciende los clientes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rtl w:val="0"/>
        </w:rPr>
        <w:t xml:space="preserve">verifica en los servidores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qué direcciones están asignadas dinámicamente en este instante. Usa busybox y muestra la configuración de red incluidos dns y sufijo de búsqueda. Comprueba que hay conectividad con los servidores DHCP.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(1 pts.) Realiza una reserva para cada LAN bajo R1 y demuestra que los clientes las obtienen. </w:t>
      </w:r>
    </w:p>
    <w:sectPr>
      <w:headerReference r:id="rId7" w:type="default"/>
      <w:pgSz w:h="16834" w:w="11909" w:orient="portrait"/>
      <w:pgMar w:bottom="1440" w:top="1418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i">
    <w:embedRegular w:fontKey="{00000000-0000-0000-0000-000000000000}" r:id="rId9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line="276" w:lineRule="auto"/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9033.0" w:type="dxa"/>
      <w:jc w:val="left"/>
      <w:tblInd w:w="-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5"/>
      <w:gridCol w:w="5791"/>
      <w:gridCol w:w="1517"/>
      <w:tblGridChange w:id="0">
        <w:tblGrid>
          <w:gridCol w:w="1725"/>
          <w:gridCol w:w="5791"/>
          <w:gridCol w:w="1517"/>
        </w:tblGrid>
      </w:tblGridChange>
    </w:tblGrid>
    <w:tr>
      <w:trPr>
        <w:cantSplit w:val="0"/>
        <w:trHeight w:val="1403" w:hRule="atLeast"/>
        <w:tblHeader w:val="1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23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29217</wp:posOffset>
                </wp:positionH>
                <wp:positionV relativeFrom="paragraph">
                  <wp:posOffset>94615</wp:posOffset>
                </wp:positionV>
                <wp:extent cx="949325" cy="645795"/>
                <wp:effectExtent b="0" l="0" r="0" t="0"/>
                <wp:wrapNone/>
                <wp:docPr id="2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25" cy="645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SERVICIOS DE RED E INTERNET </w:t>
          </w:r>
        </w:p>
        <w:p w:rsidR="00000000" w:rsidDel="00000000" w:rsidP="00000000" w:rsidRDefault="00000000" w:rsidRPr="00000000" w14:paraId="0000002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2º ASIR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-627</wp:posOffset>
                </wp:positionV>
                <wp:extent cx="771525" cy="774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EXAMEN PRÁCTICO - UT1 BIS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Curso 2025/26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60" w:lineRule="auto"/>
      <w:jc w:val="center"/>
    </w:pPr>
    <w:rPr>
      <w:rFonts w:ascii="Liberation Sans" w:cs="Liberation Sans" w:eastAsia="Liberation Sans" w:hAnsi="Liberation Sans"/>
      <w:i w:val="1"/>
      <w:iCs w:val="1"/>
      <w:color w:val="666666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Oi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