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DENOMINACIÓN DE LA ASIGNATURA O UNIDAD DE APRENDIZAJE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3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Estrategia de negocios para arte y diseño</w:t>
            </w:r>
          </w:p>
        </w:tc>
      </w:tr>
    </w:tbl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3981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981"/>
        <w:tblGridChange w:id="0">
          <w:tblGrid>
            <w:gridCol w:w="3981"/>
          </w:tblGrid>
        </w:tblGridChange>
      </w:tblGrid>
      <w:tr>
        <w:trPr>
          <w:cantSplit w:val="0"/>
          <w:trHeight w:val="661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90.0" w:type="dxa"/>
              <w:left w:w="140.0" w:type="dxa"/>
              <w:bottom w:w="9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Eje de Formación Interdisciplinaria — Asignaturas Optativas</w:t>
            </w:r>
          </w:p>
        </w:tc>
      </w:tr>
      <w:tr>
        <w:trPr>
          <w:cantSplit w:val="0"/>
          <w:trHeight w:val="244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CICLO</w:t>
            </w:r>
          </w:p>
        </w:tc>
      </w:tr>
      <w:tr>
        <w:trPr>
          <w:cantSplit w:val="0"/>
          <w:trHeight w:val="6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DM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CLAVE DE LA ASIGNATURA</w:t>
            </w:r>
          </w:p>
        </w:tc>
      </w:tr>
    </w:tbl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FINES DE APRENDIZAJE O FORMACIÓN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C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4"/>
                <w:szCs w:val="24"/>
                <w:shd w:fill="ffe599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 finalizar la asignatura, el alumno será capaz de sustentar una propuesta creativa ante distintos públicos e instancias, mediante el análisis de modelos de negocio, planeación financiera, gestión logística y desarrollo de una propuesta creativa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pitch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 orientado a convocatorias, ferias y mercados internacionales, con el fin de posicionar su trabajo y ampliar su alcance en la industria creativa nacional e internacional.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CONTENIDO TEMÁTICO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1. El Ecosistema de las Industrias Creativas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 Panorama de las industrias creativas en México y el mundo </w:t>
              <w:br w:type="textWrapping"/>
              <w:t xml:space="preserve">1.2 Tipos de organizaciones creativas: estudio, agencia, colectivo, freelance y emprendimiento </w:t>
              <w:br w:type="textWrapping"/>
              <w:t xml:space="preserve">1.3 Modelos de negocio para creativos aplicados a cada disciplina</w:t>
              <w:br w:type="textWrapping"/>
              <w:t xml:space="preserve">1.4 Estrategias de financiamiento y funding: fondos públicos, privados, patrocinios, crowdfunding y convocatorias institucionales </w:t>
              <w:br w:type="textWrapping"/>
              <w:t xml:space="preserve">1.5 Propiedad intelectual del capital creativo: derechos de autor, marcas, patentes, licenciamiento y límites de comercialización</w:t>
            </w:r>
          </w:p>
          <w:p w:rsidR="00000000" w:rsidDel="00000000" w:rsidP="00000000" w:rsidRDefault="00000000" w:rsidRPr="00000000" w14:paraId="0000001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2. Planeación financiera y costos del proyecto creativo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  <w:t xml:space="preserve">2.1 Flujo de un proyecto creativo: etapas, responsables y puntos de decisión </w:t>
              <w:br w:type="textWrapping"/>
              <w:t xml:space="preserve">2.2 Diferencia entre proyecto, anteproyecto y proyecto ejecutivo </w:t>
              <w:br w:type="textWrapping"/>
              <w:t xml:space="preserve">2.3 Documentos financieros del proyecto: antepresupuesto, presupuesto y cotización </w:t>
              <w:br w:type="textWrapping"/>
              <w:t xml:space="preserve">2.4 Estructura de costos: costos directos e indirectos, costos operativos y costos de producción-ejecución </w:t>
              <w:br w:type="textWrapping"/>
              <w:t xml:space="preserve">2.5 Imprevistos y gestión de riesgos: previsibles e imprevisibles — económicos, humanos, naturales y financieros</w:t>
              <w:br w:type="textWrapping"/>
            </w:r>
          </w:p>
          <w:p w:rsidR="00000000" w:rsidDel="00000000" w:rsidP="00000000" w:rsidRDefault="00000000" w:rsidRPr="00000000" w14:paraId="0000001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3. Logística, mercado internacional y visibilidad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  <w:t xml:space="preserve">3.1 Logística de la producción, gestión y exhibición de proyectos creativos </w:t>
              <w:br w:type="textWrapping"/>
              <w:t xml:space="preserve">3.2 Procesos de importación aplicados a la industria creativa: materiales, obras y productos</w:t>
              <w:br w:type="textWrapping"/>
              <w:t xml:space="preserve">3.3 Procesos de exportación: cómo llevar un proyecto, producto u obra creativa a mercados internacionales </w:t>
              <w:br w:type="textWrapping"/>
              <w:t xml:space="preserve">3.4 Ferias, bienales y festivales: selección, aplicación, logística y aprovechamiento estratégico </w:t>
              <w:br w:type="textWrapping"/>
              <w:t xml:space="preserve">3.5 Convocatorias de arte y diseño: búsqueda, análisis, llenado de papelería y estrategias de postulación</w:t>
              <w:br w:type="textWrapping"/>
            </w:r>
          </w:p>
          <w:p w:rsidR="00000000" w:rsidDel="00000000" w:rsidP="00000000" w:rsidRDefault="00000000" w:rsidRPr="00000000" w14:paraId="0000001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4. Estrategia, presentación y gestión de proyectos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  <w:t xml:space="preserve">4.1 Gestión ágil de equipos creativos: roles, flujos de trabajo y herramientas colaborativas para proyectos multidisciplinarios </w:t>
              <w:br w:type="textWrapping"/>
              <w:t xml:space="preserve">4.2 Concurso de proyecto: estrategia, diferenciación y criterios de evaluación </w:t>
              <w:br w:type="textWrapping"/>
              <w:t xml:space="preserve">4.3 Pitching y presentación de proyectos creativos: estructura, narrativa y manejo de audiencia </w:t>
              <w:br w:type="textWrapping"/>
              <w:t xml:space="preserve">4.4 Estrategia de posicionamiento y comunicación de la propuesta creativa </w:t>
              <w:br w:type="textWrapping"/>
              <w:t xml:space="preserve">4.5 Comercialización y licenciamiento: modelos de distribución, restricciones y oportunidades por disciplina</w:t>
            </w:r>
          </w:p>
          <w:p w:rsidR="00000000" w:rsidDel="00000000" w:rsidP="00000000" w:rsidRDefault="00000000" w:rsidRPr="00000000" w14:paraId="0000001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si1koeu68xmm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ACTIVIDADES DE APRENDIZAJE 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BAJO CONDUCCIÓN DE UN ACADÉMICO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2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Participar en análisis de casos reales de negocios creativos mediante discusión guiada, identificando modelos de negocio, estrategias de financiamiento y factores de éxito o fracaso.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2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Desarrollar talleres prácticos con las herramientas pertinentes para desarrollar negocios y análisis de convocatorias con retroalimentación estructurada del docente.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2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Presentar avances progresivos de la propuesta creativa (pitch) ante el grupo para recibir retroalimentación y realizar ajustes antes de la entrega final.</w:t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Times New Roman" w:cs="Times New Roman" w:eastAsia="Times New Roman" w:hAnsi="Times New Roman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ACTIVIDADES DE APRENDIZAJE 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INDEPENDIENTES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spacing w:after="0" w:befor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Investigar el entorno competitivo de la industria creativa elegida: tendencias, actores clave y oportunidades de mercado nacional e internacional.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Elaborar la planeación financiera de su propuesta creativa: presupuesto, estructura de costos y análisis de imprevistos.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Identificar y analizar mínimo 3 convocatorias, ferias o mercados internacionales pertinentes para su disciplina y propuesta.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spacing w:after="240" w:before="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Desarrollar y presentar una propuesta creativa (pitch) completa ante un panel evaluador, integrando modelo de negocio, planeación financiera y estrategia de visibilidad, simulando una postulación real a una convocatoria, feria o cliente de la industria.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CRITERIOS DE EVALUACIÓN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B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Business Model Canvas y análisis de oportunidad de negocio                                25%</w:t>
            </w:r>
          </w:p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Planeación financiera: presupuesto, costos e imprevistos                                        20%</w:t>
            </w:r>
          </w:p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Investigación de convocatorias, ferias o mercados internacionales                         15%</w:t>
            </w:r>
          </w:p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Pitch final ante panel evaluador (presentación oral del sistema completo)              40%</w:t>
            </w:r>
          </w:p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Total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                                                                                       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MODALIDADES TECNOLÓGICAS E INFORMÁTICAS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5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MOVER</w:t>
            </w:r>
          </w:p>
          <w:p w:rsidR="00000000" w:rsidDel="00000000" w:rsidP="00000000" w:rsidRDefault="00000000" w:rsidRPr="00000000" w14:paraId="0000003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ind w:left="720" w:hanging="720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17" w:top="1135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Times New Roman" w:cs="Times New Roman" w:eastAsia="Times New Roman" w:hAnsi="Times New Roman"/>
        <w:b w:val="1"/>
        <w:bCs w:val="1"/>
        <w:color w:val="000000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0"/>
        <w:sz w:val="24"/>
        <w:szCs w:val="24"/>
        <w:rtl w:val="0"/>
      </w:rPr>
      <w:t xml:space="preserve">Anexo 3</w:t>
    </w:r>
  </w:p>
  <w:p w:rsidR="00000000" w:rsidDel="00000000" w:rsidP="00000000" w:rsidRDefault="00000000" w:rsidRPr="00000000" w14:paraId="0000003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bLxYiRsmNW4AAVOucGX7pfFejg==">CgMxLjAyDmguc2kxa29ldTY4eG1tOAByITFhUFF3VVF1MmtfdWE0ZHU5SXEyNDN1bi0xemJKc2YxbQ==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