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Estudio de Marca y Sistemas Visuales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 de Formación Profesional - Asignatura Obligatoria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concluir la asignatura, el alumno será capaz de construir sistemas de identidad gráfica dinámica, con la finalidad de integrar  investigación estratégica, pensamiento conceptual y ejecución visual, mediante el desarrollo de proyectos de marca fundamentados, coherentes y aplicables en contextos reales.</w:t>
            </w:r>
          </w:p>
          <w:p w:rsidR="00000000" w:rsidDel="00000000" w:rsidP="00000000" w:rsidRDefault="00000000" w:rsidRPr="00000000" w14:paraId="0000000F">
            <w:pPr>
              <w:ind w:left="21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Estrategia de marca</w:t>
            </w:r>
          </w:p>
          <w:p w:rsidR="00000000" w:rsidDel="00000000" w:rsidP="00000000" w:rsidRDefault="00000000" w:rsidRPr="00000000" w14:paraId="00000015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 del problema y brief de diseño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1.1.1 Objetivos de comunicación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1.1.2 Alcances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Investigación de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Segmentación y público objetivo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Investigación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 de competencia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 de tendencias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Auditoría de marca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Auditoría verbal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Auditoría visual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Posicionamiento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Propósito, valores y personalidad de marca</w:t>
            </w:r>
          </w:p>
          <w:p w:rsidR="00000000" w:rsidDel="00000000" w:rsidP="00000000" w:rsidRDefault="00000000" w:rsidRPr="00000000" w14:paraId="00000023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Tono de voz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Rediseño de marca</w:t>
            </w:r>
          </w:p>
          <w:p w:rsidR="00000000" w:rsidDel="00000000" w:rsidP="00000000" w:rsidRDefault="00000000" w:rsidRPr="00000000" w14:paraId="00000025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Causas y justificación del rediseño</w:t>
            </w:r>
          </w:p>
          <w:p w:rsidR="00000000" w:rsidDel="00000000" w:rsidP="00000000" w:rsidRDefault="00000000" w:rsidRPr="00000000" w14:paraId="00000026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Evolución vs. revolución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Accesibilidad y sostenibilidad de marca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left="21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conceptual y gráfico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Exploración y generación de conceptos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 concepto al sistema visual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Elementos conceptuales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Arquetipos de marca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Narrativa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Elementos del sistema visual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Paleta de color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Paleta tipográfica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Fotografía e ilustración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Elementos de apoyo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 de marca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Arquitectura de marca</w:t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Identidad gráfica dinámica</w:t>
            </w:r>
          </w:p>
          <w:p w:rsidR="00000000" w:rsidDel="00000000" w:rsidP="00000000" w:rsidRDefault="00000000" w:rsidRPr="00000000" w14:paraId="0000003A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Variables y adaptaciones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Flexibilidad y coherencia sistémica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Puntos de contacto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Comunicación corporativa</w:t>
            </w:r>
          </w:p>
          <w:p w:rsidR="00000000" w:rsidDel="00000000" w:rsidP="00000000" w:rsidRDefault="00000000" w:rsidRPr="00000000" w14:paraId="0000003E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Entornos digitales</w:t>
            </w:r>
          </w:p>
          <w:p w:rsidR="00000000" w:rsidDel="00000000" w:rsidP="00000000" w:rsidRDefault="00000000" w:rsidRPr="00000000" w14:paraId="0000003F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Señalización y entorno físico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del sistema de marca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 y contenido del manual de identidad</w:t>
            </w:r>
          </w:p>
          <w:p w:rsidR="00000000" w:rsidDel="00000000" w:rsidP="00000000" w:rsidRDefault="00000000" w:rsidRPr="00000000" w14:paraId="00000042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uso, adaptaciones y restricciones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Argumentación y defensa de decisiones de diseño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2"/>
                <w:numId w:val="3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Presentación y defensa del proyecto de marca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Analizar, con la guía del académico, casos de sistemas de identidad gráfica dinámica y proyectos de rebranding para identificar sus decisiones estratégicas, conceptuales y visuales.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el brief, la investigación de mercado y la auditoría de marca del proyecto integrador, con retroalimentación del académico sobre los hallazgos y su implicación estratégica.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Definir el posicionamiento del proyecto integrador, propósito, valores, personalidad y narrativa de marca, durante las sesiones de clase con orientación del académico.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Explorar y desarrollar propuestas conceptuales del sistema de identidad, elementos visuales y lógica del sistema, con la guía del académico.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avances progresivos del proyecto integrador en clase para recibir retroalimentación y realizar ajustes pertinentes a la estrategia y al sistema visual.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y defender el manual de identidad del proyecto integrador, argumentando las decisiones de diseño tomadas a lo largo del curso.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Investigar y documentar referentes de sistemas de identidad gráfica dinámica y casos de rebranding relevantes para el desarrollo del proyecto integrador.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de manera autónoma los avances del proyecto integrador, brief, investigación, posicionamiento, sistema visual y puntos de contacto, incorporando la retroalimentación recibida en clase.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materiales bibliográficos y recursos especializados en branding e identidad que sustenten las decisiones estratégicas y visuales del proyecto.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Integrar ajustes y mejoras al sistema de identidad y al manual de marca a partir de la retroalimentación recibida en las sesiones de clase.</w:t>
            </w:r>
          </w:p>
          <w:p w:rsidR="00000000" w:rsidDel="00000000" w:rsidP="00000000" w:rsidRDefault="00000000" w:rsidRPr="00000000" w14:paraId="0000005B">
            <w:pPr>
              <w:spacing w:after="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Participación en el análisis crítico de referentes y discusiones estratégicas en clase  10%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Investigación de mercado, investigación de usuario, auditoría y posicionamiento de marca del proyecto integrador                                                                                                15%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Avances progresivos del sistema de identidad presentados en clase para recibir retroalimentación                                                                                                          20%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identidad gráfica dinámica que integre desarrollo conceptual, elementos visuales, marca en movimiento y puntos de contacto con coherencia sistémica         30%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identidad y pitch de presentación final del proyecto integrador                25%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                                                                                                                          100%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de llenado:</w:t>
      </w:r>
    </w:p>
    <w:tbl>
      <w:tblPr>
        <w:tblStyle w:val="Table9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256"/>
        <w:gridCol w:w="5572"/>
        <w:tblGridChange w:id="0">
          <w:tblGrid>
            <w:gridCol w:w="3256"/>
            <w:gridCol w:w="5572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Modalidades tecnológicas e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Describir los recursos tecnológicos y de comunicación que emplearán para el desarrollo del proceso de enseñanza-aprendizaje de la asignatura.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NOTA: Para las modalidades no escolarizada y mixta, es un elemento obligatorio, toda vez que dará sustento a la modalidad elegida.</w:t>
            </w:r>
          </w:p>
        </w:tc>
      </w:tr>
    </w:tbl>
    <w:p w:rsidR="00000000" w:rsidDel="00000000" w:rsidP="00000000" w:rsidRDefault="00000000" w:rsidRPr="00000000" w14:paraId="00000080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Favor de no modificar la presentación de los formatos, en virtud que se encuentra diseñado para facilitar el llenado de cada uno de los apartados.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mSc7ctPaFRrrbZlXFVey2zZDzQ==">CgMxLjAyDmguc2kxa29ldTY4eG1tOAByITExa2V3aEZkSE1KaGp0V3RWQnlrMjhkQWJHejJsSVZHWA==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