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Tipografía II aplicaciones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diseñar sistemas tipográficos editoriales, integrando la organización espacial, la composición tipográfica y las convenciones editoriales, mediante el desarrollo de publicaciones impresas y digitales, con la finalidad de comunicar contenidos de manera clara, funcional y estéticamente coherente, considerando criterios de lecturabilidad y experiencia de lectura.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Organización espacial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proporcionales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Formatos estándar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y tipos de márgenes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reticular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Retícula base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Retícula de manuscrito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Retícula de columnas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Retícula modular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Deconstrucción reticular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Tipografía editorial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documento editorial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Partes del documento</w:t>
            </w:r>
          </w:p>
          <w:p w:rsidR="00000000" w:rsidDel="00000000" w:rsidP="00000000" w:rsidRDefault="00000000" w:rsidRPr="00000000" w14:paraId="00000024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Compaginación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Variables tipográficas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para tipografía de bloque</w:t>
            </w:r>
          </w:p>
          <w:p w:rsidR="00000000" w:rsidDel="00000000" w:rsidP="00000000" w:rsidRDefault="00000000" w:rsidRPr="00000000" w14:paraId="00000027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para tipografía de énfasis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Formación de párrafos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Indicadores de párrafo</w:t>
            </w:r>
          </w:p>
          <w:p w:rsidR="00000000" w:rsidDel="00000000" w:rsidP="00000000" w:rsidRDefault="00000000" w:rsidRPr="00000000" w14:paraId="0000002A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Ancho de línea </w:t>
            </w:r>
          </w:p>
          <w:p w:rsidR="00000000" w:rsidDel="00000000" w:rsidP="00000000" w:rsidRDefault="00000000" w:rsidRPr="00000000" w14:paraId="0000002B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Mancha tipográfica</w:t>
            </w:r>
          </w:p>
          <w:p w:rsidR="00000000" w:rsidDel="00000000" w:rsidP="00000000" w:rsidRDefault="00000000" w:rsidRPr="00000000" w14:paraId="0000002C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de formación</w:t>
            </w:r>
          </w:p>
          <w:p w:rsidR="00000000" w:rsidDel="00000000" w:rsidP="00000000" w:rsidRDefault="00000000" w:rsidRPr="00000000" w14:paraId="0000002D">
            <w:pPr>
              <w:ind w:left="2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Aplicaciones tipográficas</w:t>
            </w:r>
          </w:p>
          <w:p w:rsidR="00000000" w:rsidDel="00000000" w:rsidP="00000000" w:rsidRDefault="00000000" w:rsidRPr="00000000" w14:paraId="0000002F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estéticos y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publicaciones impresas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Publicaciones compaginadas</w:t>
            </w:r>
          </w:p>
          <w:p w:rsidR="00000000" w:rsidDel="00000000" w:rsidP="00000000" w:rsidRDefault="00000000" w:rsidRPr="00000000" w14:paraId="00000033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Plegables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publicaciones digitales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Publicaciones web</w:t>
            </w:r>
          </w:p>
          <w:p w:rsidR="00000000" w:rsidDel="00000000" w:rsidP="00000000" w:rsidRDefault="00000000" w:rsidRPr="00000000" w14:paraId="00000036">
            <w:pPr>
              <w:numPr>
                <w:ilvl w:val="2"/>
                <w:numId w:val="1"/>
              </w:numPr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Publicaciones para dispositivos móviles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Analizar, con la guía del académico, documentos editoriales impresos y digitales para identificar sus sistemas tipográficos, decisiones de organización espacial y convenciones editoriales aplicadas.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de construcción y aplicación de retículas —de manuscrito, columnas y modular— durante las sesiones de clase, evaluando su pertinencia según el tipo de publicación.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Resolver ejercicios de composición tipográfica en clase, aplicando criterios de mancha tipográfica, formación de párrafos y variables tipográficas para texto de bloque y de énfasis.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propuestas de publicaciones impresas y digitales con la orientación del académico, integrando organización espacial, composición tipográfica y convenciones editoriales.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de las propuestas desarrolladas para recibir retroalimentación y realizar los ajustes pertinentes.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documentos editoriales de referencia —libros, revistas, publicaciones web— para identificar y documentar los sistemas tipográficos y reticulares empleados.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propuestas de diseño editorial de manera autónoma, aplicando los criterios de organización espacial, composición tipográfica y convenciones editoriales trabajados en clase.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materiales bibliográficos y recursos especializados que amplíen y sustenten los contenidos del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registros o fichas de análisis tipográfico editorial a partir de los ejercicios y propuestas desarrollados.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ajustes y mejoras a las propuestas a partir de la retroalimentación recibida en las sesiones de clase.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Participación en la discusión y análisis crítico de referentes editoriales en clase  10%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de construcción reticular y composición tipográfica editorial desarrollados durante las sesiones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Avances de propuestas de diseño que demuestren la integración progresiva de los criterios del curso               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Propuestas de diseño que integren de manera coherente la organización espacial, la composición tipográfica y las convenciones editoriales                                       25%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integrador o evidencia final de aprendizaje                                           25%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73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vVKYGYye2Vg4evpsOvhuXkNww==">CgMxLjAyDmguc2kxa29ldTY4eG1tOAByITFnMkw1NmNQc2JRZTJ0ZnRWZUZ2T0hid01Hc1Q0QkFhbg==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