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line="360"/>
        <w:jc w:val="center"/>
      </w:pPr>
      <w:r>
        <w:rPr>
          <w:rFonts w:ascii="Times New Roman" w:cs="Times New Roman" w:eastAsia="Times New Roman" w:hAnsi="Times New Roman"/>
          <w:b/>
          <w:bCs/>
          <w:sz w:val="28"/>
          <w:szCs w:val="28"/>
        </w:rPr>
        <w:t xml:space="preserve">Justificación del Plan de Estudios</w:t>
      </w:r>
    </w:p>
    <w:p>
      <w:pPr>
        <w:spacing w:after="200" w:line="360"/>
        <w:jc w:val="center"/>
      </w:pPr>
      <w:r>
        <w:rPr>
          <w:rFonts w:ascii="Times New Roman" w:cs="Times New Roman" w:eastAsia="Times New Roman" w:hAnsi="Times New Roman"/>
          <w:b/>
          <w:bCs/>
          <w:sz w:val="28"/>
          <w:szCs w:val="28"/>
        </w:rPr>
        <w:t xml:space="preserve">Licenciatura en Dirección y Gestión de Diseño (LDGD)</w:t>
      </w:r>
    </w:p>
    <w:p>
      <w:pPr>
        <w:spacing w:after="200" w:line="360"/>
        <w:jc w:val="center"/>
      </w:pPr>
      <w:r>
        <w:rPr>
          <w:rFonts w:ascii="Times New Roman" w:cs="Times New Roman" w:eastAsia="Times New Roman" w:hAnsi="Times New Roman"/>
          <w:b/>
          <w:bCs/>
          <w:sz w:val="28"/>
          <w:szCs w:val="28"/>
        </w:rPr>
        <w:t xml:space="preserve">Plan 2027</w:t>
      </w:r>
    </w:p>
    <w:p>
      <w:pPr>
        <w:spacing w:after="600"/>
      </w:pPr>
    </w:p>
    <w:p>
      <w:pPr>
        <w:spacing w:after="120" w:line="360"/>
        <w:jc w:val="center"/>
      </w:pPr>
      <w:r>
        <w:rPr>
          <w:rFonts w:ascii="Times New Roman" w:cs="Times New Roman" w:eastAsia="Times New Roman" w:hAnsi="Times New Roman"/>
          <w:sz w:val="24"/>
          <w:szCs w:val="24"/>
        </w:rPr>
        <w:t xml:space="preserve">Universidad de Monterrey (UDEM)</w:t>
      </w:r>
    </w:p>
    <w:p>
      <w:pPr>
        <w:spacing w:after="120" w:line="360"/>
        <w:jc w:val="center"/>
      </w:pPr>
      <w:r>
        <w:rPr>
          <w:rFonts w:ascii="Times New Roman" w:cs="Times New Roman" w:eastAsia="Times New Roman" w:hAnsi="Times New Roman"/>
          <w:sz w:val="24"/>
          <w:szCs w:val="24"/>
        </w:rPr>
        <w:t xml:space="preserve">Escuela de Arte y Diseño</w:t>
      </w:r>
    </w:p>
    <w:p>
      <w:pPr>
        <w:spacing w:after="120" w:line="360"/>
        <w:jc w:val="center"/>
      </w:pPr>
      <w:r>
        <w:rPr>
          <w:rFonts w:ascii="Times New Roman" w:cs="Times New Roman" w:eastAsia="Times New Roman" w:hAnsi="Times New Roman"/>
          <w:sz w:val="24"/>
          <w:szCs w:val="24"/>
        </w:rPr>
        <w:t xml:space="preserve">Documento para trámite de RVOE ante la SEP</w:t>
      </w:r>
    </w:p>
    <w:p>
      <w:pPr>
        <w:spacing w:after="120" w:line="360"/>
        <w:jc w:val="center"/>
      </w:pPr>
      <w:r>
        <w:rPr>
          <w:rFonts w:ascii="Times New Roman" w:cs="Times New Roman" w:eastAsia="Times New Roman" w:hAnsi="Times New Roman"/>
          <w:sz w:val="24"/>
          <w:szCs w:val="24"/>
        </w:rPr>
        <w:t xml:space="preserve">Marzo 2026</w:t>
      </w:r>
    </w:p>
    <w:p>
      <w:r>
        <w:br w:type="page"/>
      </w:r>
    </w:p>
    <w:p>
      <w:pPr>
        <w:pStyle w:val="Heading1"/>
        <w:spacing w:after="160" w:before="360"/>
      </w:pPr>
      <w:r>
        <w:rPr>
          <w:rFonts w:ascii="Times New Roman" w:cs="Times New Roman" w:eastAsia="Times New Roman" w:hAnsi="Times New Roman"/>
          <w:b/>
          <w:bCs/>
          <w:sz w:val="28"/>
          <w:szCs w:val="28"/>
        </w:rPr>
        <w:t xml:space="preserve">1. Introducción y Contexto</w:t>
      </w:r>
    </w:p>
    <w:p>
      <w:pPr>
        <w:spacing w:after="200" w:line="360"/>
        <w:ind w:firstLine="720"/>
        <w:jc w:val="both"/>
      </w:pPr>
      <w:r>
        <w:rPr>
          <w:rFonts w:ascii="Times New Roman" w:cs="Times New Roman" w:eastAsia="Times New Roman" w:hAnsi="Times New Roman"/>
          <w:sz w:val="24"/>
          <w:szCs w:val="24"/>
        </w:rPr>
        <w:t xml:space="preserve">El presente documento fundamenta el rediseño curricular de la </w:t>
      </w:r>
      <w:r>
        <w:rPr>
          <w:rFonts w:ascii="Times New Roman" w:cs="Times New Roman" w:eastAsia="Times New Roman" w:hAnsi="Times New Roman"/>
          <w:b/>
          <w:bCs/>
          <w:sz w:val="24"/>
          <w:szCs w:val="24"/>
        </w:rPr>
        <w:t xml:space="preserve">Licenciatura en Dirección y Gestión de Diseño (LDGD), Plan 2027</w:t>
      </w:r>
      <w:r>
        <w:rPr>
          <w:rFonts w:ascii="Times New Roman" w:cs="Times New Roman" w:eastAsia="Times New Roman" w:hAnsi="Times New Roman"/>
          <w:sz w:val="24"/>
          <w:szCs w:val="24"/>
        </w:rPr>
        <w:t xml:space="preserve">, de la Universidad de Monterrey. El programa consta de </w:t>
      </w:r>
      <w:r>
        <w:rPr>
          <w:rFonts w:ascii="Times New Roman" w:cs="Times New Roman" w:eastAsia="Times New Roman" w:hAnsi="Times New Roman"/>
          <w:b/>
          <w:bCs/>
          <w:sz w:val="24"/>
          <w:szCs w:val="24"/>
        </w:rPr>
        <w:t xml:space="preserve">342 créditos distribuidos en 9 semestres</w:t>
      </w:r>
      <w:r>
        <w:rPr>
          <w:rFonts w:ascii="Times New Roman" w:cs="Times New Roman" w:eastAsia="Times New Roman" w:hAnsi="Times New Roman"/>
          <w:sz w:val="24"/>
          <w:szCs w:val="24"/>
        </w:rPr>
        <w:t xml:space="preserve">, organizados en cinco fases formativas y cinco ejes curriculares: Lenguaje Visual, Sistemas e Identidad, Experiencia e Interacción, Dirección Estratégica, y Producción y Gestión.</w:t>
      </w:r>
    </w:p>
    <w:p>
      <w:pPr>
        <w:spacing w:after="200" w:line="360"/>
        <w:ind w:firstLine="720"/>
        <w:jc w:val="both"/>
      </w:pPr>
      <w:r>
        <w:rPr>
          <w:rFonts w:ascii="Times New Roman" w:cs="Times New Roman" w:eastAsia="Times New Roman" w:hAnsi="Times New Roman"/>
          <w:sz w:val="24"/>
          <w:szCs w:val="24"/>
        </w:rPr>
        <w:t xml:space="preserve">De acuerdo con el Foro Económico Mundial (WEF, 2025), el </w:t>
      </w:r>
      <w:r>
        <w:rPr>
          <w:rFonts w:ascii="Times New Roman" w:cs="Times New Roman" w:eastAsia="Times New Roman" w:hAnsi="Times New Roman"/>
          <w:b/>
          <w:bCs/>
          <w:sz w:val="24"/>
          <w:szCs w:val="24"/>
        </w:rPr>
        <w:t xml:space="preserve">40% de las habilidades esenciales</w:t>
      </w:r>
      <w:r>
        <w:rPr>
          <w:rFonts w:ascii="Times New Roman" w:cs="Times New Roman" w:eastAsia="Times New Roman" w:hAnsi="Times New Roman"/>
          <w:sz w:val="24"/>
          <w:szCs w:val="24"/>
        </w:rPr>
        <w:t xml:space="preserve"> requeridas en los empleos cambiarán en los próximos cinco años. Para México, esta cifra es del 40%, por encima del promedio global de 39%. El reporte, basado en la perspectiva de más de 1,000 empleadores globales que representan 14.1 millones de trabajadores en 55 economías, identifica que </w:t>
      </w:r>
      <w:r>
        <w:rPr>
          <w:rFonts w:ascii="Times New Roman" w:cs="Times New Roman" w:eastAsia="Times New Roman" w:hAnsi="Times New Roman"/>
          <w:b/>
          <w:bCs/>
          <w:sz w:val="24"/>
          <w:szCs w:val="24"/>
        </w:rPr>
        <w:t xml:space="preserve">59 de cada 100 trabajadores necesitarán reentrenamiento para 2030</w:t>
      </w:r>
      <w:r>
        <w:rPr>
          <w:rFonts w:ascii="Times New Roman" w:cs="Times New Roman" w:eastAsia="Times New Roman" w:hAnsi="Times New Roman"/>
          <w:sz w:val="24"/>
          <w:szCs w:val="24"/>
        </w:rPr>
        <w:t xml:space="preserve">. En México, el Instituto Mexicano para la Competitividad (IMCO, 2025) ha identificado que la carrera de Diseño Gráfico tradicional figura entre las profesiones con mayor desempleo y brecha entre formación y empleabilidad. Según datos de la Secretaría de Economía (Data México, 2025), la fuerza laboral de diseñadores gráficos alcanzó 62,600 personas en el primer trimestre de 2025, con una informalidad del 36.7% y un salario promedio de $5,290 MXN mensuales, cifras que evidencian la urgencia de transformar la formación académica.</w:t>
      </w:r>
    </w:p>
    <w:p>
      <w:pPr>
        <w:pStyle w:val="Heading1"/>
        <w:spacing w:after="160" w:before="360"/>
      </w:pPr>
      <w:r>
        <w:rPr>
          <w:rFonts w:ascii="Times New Roman" w:cs="Times New Roman" w:eastAsia="Times New Roman" w:hAnsi="Times New Roman"/>
          <w:b/>
          <w:bCs/>
          <w:sz w:val="28"/>
          <w:szCs w:val="28"/>
        </w:rPr>
        <w:t xml:space="preserve">2. Justificación del Rediseño Curricular</w:t>
      </w:r>
    </w:p>
    <w:p>
      <w:pPr>
        <w:pStyle w:val="Heading2"/>
        <w:spacing w:after="160" w:before="240"/>
      </w:pPr>
      <w:r>
        <w:rPr>
          <w:rFonts w:ascii="Times New Roman" w:cs="Times New Roman" w:eastAsia="Times New Roman" w:hAnsi="Times New Roman"/>
          <w:b/>
          <w:bCs/>
          <w:sz w:val="24"/>
          <w:szCs w:val="24"/>
        </w:rPr>
        <w:t xml:space="preserve">2.1 Demanda del mercado laboral</w:t>
      </w:r>
    </w:p>
    <w:p>
      <w:pPr>
        <w:spacing w:after="200" w:line="360"/>
        <w:ind w:firstLine="720"/>
        <w:jc w:val="both"/>
      </w:pPr>
      <w:r>
        <w:rPr>
          <w:rFonts w:ascii="Times New Roman" w:cs="Times New Roman" w:eastAsia="Times New Roman" w:hAnsi="Times New Roman"/>
          <w:sz w:val="24"/>
          <w:szCs w:val="24"/>
        </w:rPr>
        <w:t xml:space="preserve">La Oficina de Estadísticas Laborales de Estados Unidos (BLS, 2024) proyecta un crecimiento del 16% en empleos de diseño web y digital para 2022–2032. El WEF (2025) ubica a los </w:t>
      </w:r>
      <w:r>
        <w:rPr>
          <w:rFonts w:ascii="Times New Roman" w:cs="Times New Roman" w:eastAsia="Times New Roman" w:hAnsi="Times New Roman"/>
          <w:b/>
          <w:bCs/>
          <w:sz w:val="24"/>
          <w:szCs w:val="24"/>
        </w:rPr>
        <w:t xml:space="preserve">diseñadores de UI y UX como el octavo rol de mayor crecimiento a nivel global hacia 2030</w:t>
      </w:r>
      <w:r>
        <w:rPr>
          <w:rFonts w:ascii="Times New Roman" w:cs="Times New Roman" w:eastAsia="Times New Roman" w:hAnsi="Times New Roman"/>
          <w:sz w:val="24"/>
          <w:szCs w:val="24"/>
        </w:rPr>
        <w:t xml:space="preserve">, junto con roles como Especialistas en Big Data, Ingenieros FinTech y Especialistas en IA y Machine Learning. En México, Manpower (2025) reporta que siete de cada diez empleadores tienen dificultades para cubrir vacantes, especialmente en sectores de tecnología e innovación. El estudio de McKinsey </w:t>
      </w:r>
      <w:r>
        <w:rPr>
          <w:rFonts w:ascii="Times New Roman" w:cs="Times New Roman" w:eastAsia="Times New Roman" w:hAnsi="Times New Roman"/>
          <w:i/>
          <w:iCs/>
          <w:sz w:val="24"/>
          <w:szCs w:val="24"/>
        </w:rPr>
        <w:t xml:space="preserve">The Business Value of Design</w:t>
      </w:r>
      <w:r>
        <w:rPr>
          <w:rFonts w:ascii="Times New Roman" w:cs="Times New Roman" w:eastAsia="Times New Roman" w:hAnsi="Times New Roman"/>
          <w:sz w:val="24"/>
          <w:szCs w:val="24"/>
        </w:rPr>
        <w:t xml:space="preserve"> demostró que las empresas con liderazgo sólido en diseño superan significativamente los benchmarks de su industria en ingresos y retorno a accionistas.</w:t>
      </w:r>
    </w:p>
    <w:p>
      <w:pPr>
        <w:spacing w:after="200" w:line="360"/>
        <w:ind w:firstLine="720"/>
        <w:jc w:val="both"/>
      </w:pPr>
      <w:r>
        <w:rPr>
          <w:rFonts w:ascii="Times New Roman" w:cs="Times New Roman" w:eastAsia="Times New Roman" w:hAnsi="Times New Roman"/>
          <w:sz w:val="24"/>
          <w:szCs w:val="24"/>
        </w:rPr>
        <w:t xml:space="preserve">Adicionalmente, el WEF (2025) reporta que las brechas de habilidades en el mercado laboral constituyen la </w:t>
      </w:r>
      <w:r>
        <w:rPr>
          <w:rFonts w:ascii="Times New Roman" w:cs="Times New Roman" w:eastAsia="Times New Roman" w:hAnsi="Times New Roman"/>
          <w:b/>
          <w:bCs/>
          <w:sz w:val="24"/>
          <w:szCs w:val="24"/>
        </w:rPr>
        <w:t xml:space="preserve">barrera principal para la transformación empresarial</w:t>
      </w:r>
      <w:r>
        <w:rPr>
          <w:rFonts w:ascii="Times New Roman" w:cs="Times New Roman" w:eastAsia="Times New Roman" w:hAnsi="Times New Roman"/>
          <w:sz w:val="24"/>
          <w:szCs w:val="24"/>
        </w:rPr>
        <w:t xml:space="preserve">, citada por el 63% de los empleadores encuestados a nivel global. En respuesta, el 85% de las organizaciones planea implementar estrategias de upskilling, el 73% planea acelerar la automatización de procesos y el 70% busca contratar personal con nuevas habilidades. Estos datos reflejan una demanda urgente de profesionales que combinen competencias creativas con habilidades de gestión estratégica y tecnológica.</w:t>
      </w:r>
    </w:p>
    <w:p>
      <w:pPr>
        <w:pStyle w:val="Heading2"/>
        <w:spacing w:after="160" w:before="240"/>
      </w:pPr>
      <w:r>
        <w:rPr>
          <w:rFonts w:ascii="Times New Roman" w:cs="Times New Roman" w:eastAsia="Times New Roman" w:hAnsi="Times New Roman"/>
          <w:b/>
          <w:bCs/>
          <w:sz w:val="24"/>
          <w:szCs w:val="24"/>
        </w:rPr>
        <w:t xml:space="preserve">2.2 Brecha formativa en México</w:t>
      </w:r>
    </w:p>
    <w:p>
      <w:pPr>
        <w:spacing w:after="200" w:line="360"/>
        <w:ind w:firstLine="720"/>
        <w:jc w:val="both"/>
      </w:pPr>
      <w:r>
        <w:rPr>
          <w:rFonts w:ascii="Times New Roman" w:cs="Times New Roman" w:eastAsia="Times New Roman" w:hAnsi="Times New Roman"/>
          <w:sz w:val="24"/>
          <w:szCs w:val="24"/>
        </w:rPr>
        <w:t xml:space="preserve">El IMCO (2025) advierte que los estudiantes siguen proyectando su futuro en ocupaciones que ya no reflejan la estructura real de la economía, ampliando la brecha entre formación y empleabilidad. Los programas tradicionales de diseño gráfico en México se centran en habilidades técnicas de producción visual, sin incorporar competencias de gestión estratégica, diseño de servicios, experiencia de usuario ni liderazgo organizacional.</w:t>
      </w:r>
    </w:p>
    <w:p>
      <w:pPr>
        <w:spacing w:after="200" w:line="360"/>
        <w:ind w:firstLine="720"/>
        <w:jc w:val="both"/>
      </w:pPr>
      <w:r>
        <w:rPr>
          <w:rFonts w:ascii="Times New Roman" w:cs="Times New Roman" w:eastAsia="Times New Roman" w:hAnsi="Times New Roman"/>
          <w:sz w:val="24"/>
          <w:szCs w:val="24"/>
        </w:rPr>
        <w:t xml:space="preserve">Los datos del WEF (2025) son contundentes al respecto: </w:t>
      </w:r>
      <w:r>
        <w:rPr>
          <w:rFonts w:ascii="Times New Roman" w:cs="Times New Roman" w:eastAsia="Times New Roman" w:hAnsi="Times New Roman"/>
          <w:b/>
          <w:bCs/>
          <w:sz w:val="24"/>
          <w:szCs w:val="24"/>
        </w:rPr>
        <w:t xml:space="preserve">Graphic Designers aparece por primera vez en la historia del reporte entre los 15 empleos de mayor declive a nivel mundial</w:t>
      </w:r>
      <w:r>
        <w:rPr>
          <w:rFonts w:ascii="Times New Roman" w:cs="Times New Roman" w:eastAsia="Times New Roman" w:hAnsi="Times New Roman"/>
          <w:sz w:val="24"/>
          <w:szCs w:val="24"/>
        </w:rPr>
        <w:t xml:space="preserve">, tanto en porcentaje de caída como en números absolutos. Este es un cambio radical respecto a la edición 2023, cuando los diseñadores gráficos aún eran considerados un empleo de crecimiento moderado. El reporte atribuye explícitamente este declive a la creciente capacidad de la inteligencia artificial generativa (GenAI) para realizar trabajo de conocimiento, citando tanto las tecnologías de procesamiento de IA como la ampliación del acceso digital como los principales impulsores de esta caída.</w:t>
      </w:r>
    </w:p>
    <w:p>
      <w:pPr>
        <w:spacing w:after="200" w:line="360"/>
        <w:ind w:firstLine="720"/>
        <w:jc w:val="both"/>
      </w:pPr>
      <w:r>
        <w:rPr>
          <w:rFonts w:ascii="Times New Roman" w:cs="Times New Roman" w:eastAsia="Times New Roman" w:hAnsi="Times New Roman"/>
          <w:sz w:val="24"/>
          <w:szCs w:val="24"/>
        </w:rPr>
        <w:t xml:space="preserve">En contraste, el reporte señala que mientras el diseño gráfico de ejecución declina, los roles que combinan diseño con estrategia, tecnología y liderazgo están en franco crecimiento: los </w:t>
      </w:r>
      <w:r>
        <w:rPr>
          <w:rFonts w:ascii="Times New Roman" w:cs="Times New Roman" w:eastAsia="Times New Roman" w:hAnsi="Times New Roman"/>
          <w:b/>
          <w:bCs/>
          <w:sz w:val="24"/>
          <w:szCs w:val="24"/>
        </w:rPr>
        <w:t xml:space="preserve">UI/UX Designers (#8), Digital Marketing and Strategy Specialists, Digital Transformation Specialists</w:t>
      </w:r>
      <w:r>
        <w:rPr>
          <w:rFonts w:ascii="Times New Roman" w:cs="Times New Roman" w:eastAsia="Times New Roman" w:hAnsi="Times New Roman"/>
          <w:sz w:val="24"/>
          <w:szCs w:val="24"/>
        </w:rPr>
        <w:t xml:space="preserve"> y </w:t>
      </w:r>
      <w:r>
        <w:rPr>
          <w:rFonts w:ascii="Times New Roman" w:cs="Times New Roman" w:eastAsia="Times New Roman" w:hAnsi="Times New Roman"/>
          <w:b/>
          <w:bCs/>
          <w:sz w:val="24"/>
          <w:szCs w:val="24"/>
        </w:rPr>
        <w:t xml:space="preserve">Product Managers</w:t>
      </w:r>
      <w:r>
        <w:rPr>
          <w:rFonts w:ascii="Times New Roman" w:cs="Times New Roman" w:eastAsia="Times New Roman" w:hAnsi="Times New Roman"/>
          <w:sz w:val="24"/>
          <w:szCs w:val="24"/>
        </w:rPr>
        <w:t xml:space="preserve"> figuran todos entre los empleos de mayor crecimiento. Esta dualidad confirma que </w:t>
      </w:r>
      <w:r>
        <w:rPr>
          <w:rFonts w:ascii="Times New Roman" w:cs="Times New Roman" w:eastAsia="Times New Roman" w:hAnsi="Times New Roman"/>
          <w:b/>
          <w:bCs/>
          <w:sz w:val="24"/>
          <w:szCs w:val="24"/>
        </w:rPr>
        <w:t xml:space="preserve">el valor profesional del diseño se está trasladando de la ejecución visual hacia la dirección estratégica y la experiencia de usuario</w:t>
      </w:r>
      <w:r>
        <w:rPr>
          <w:rFonts w:ascii="Times New Roman" w:cs="Times New Roman" w:eastAsia="Times New Roman" w:hAnsi="Times New Roman"/>
          <w:sz w:val="24"/>
          <w:szCs w:val="24"/>
        </w:rPr>
        <w:t xml:space="preserve">.</w:t>
      </w:r>
    </w:p>
    <w:p>
      <w:pPr>
        <w:spacing w:after="200" w:line="360"/>
        <w:ind w:firstLine="720"/>
        <w:jc w:val="both"/>
      </w:pPr>
      <w:r>
        <w:rPr>
          <w:rFonts w:ascii="Times New Roman" w:cs="Times New Roman" w:eastAsia="Times New Roman" w:hAnsi="Times New Roman"/>
          <w:sz w:val="24"/>
          <w:szCs w:val="24"/>
        </w:rPr>
        <w:t xml:space="preserve">Respecto a México en particular, el WEF (2025) reporta que el </w:t>
      </w:r>
      <w:r>
        <w:rPr>
          <w:rFonts w:ascii="Times New Roman" w:cs="Times New Roman" w:eastAsia="Times New Roman" w:hAnsi="Times New Roman"/>
          <w:b/>
          <w:bCs/>
          <w:sz w:val="24"/>
          <w:szCs w:val="24"/>
        </w:rPr>
        <w:t xml:space="preserve">95% de las empresas</w:t>
      </w:r>
      <w:r>
        <w:rPr>
          <w:rFonts w:ascii="Times New Roman" w:cs="Times New Roman" w:eastAsia="Times New Roman" w:hAnsi="Times New Roman"/>
          <w:sz w:val="24"/>
          <w:szCs w:val="24"/>
        </w:rPr>
        <w:t xml:space="preserve"> que operan en el país esperan que las herramientas de IA transformen sus operaciones en los próximos cinco años (frente al 86% global). El 82% planea acelerar la automatización de tareas y el 63% anticipa mayor uso de robótica. Las habilidades con mayor demanda proyectada en México incluyen IA y big data, pensamiento creativo, resiliencia, flexibilidad y agilidad, así como gestión ambiental. Todo ello exige que el diseñador evolucione de ejecutor técnico a estratega y director creativo.</w:t>
      </w:r>
    </w:p>
    <w:p>
      <w:pPr>
        <w:pStyle w:val="Heading2"/>
        <w:spacing w:after="160" w:before="240"/>
      </w:pPr>
      <w:r>
        <w:rPr>
          <w:rFonts w:ascii="Times New Roman" w:cs="Times New Roman" w:eastAsia="Times New Roman" w:hAnsi="Times New Roman"/>
          <w:b/>
          <w:bCs/>
          <w:sz w:val="24"/>
          <w:szCs w:val="24"/>
        </w:rPr>
        <w:t xml:space="preserve">2.3 Pertinencia del nombre del programa</w:t>
      </w:r>
    </w:p>
    <w:p>
      <w:pPr>
        <w:spacing w:after="200" w:line="360"/>
        <w:ind w:firstLine="720"/>
        <w:jc w:val="both"/>
      </w:pPr>
      <w:r>
        <w:rPr>
          <w:rFonts w:ascii="Times New Roman" w:cs="Times New Roman" w:eastAsia="Times New Roman" w:hAnsi="Times New Roman"/>
          <w:sz w:val="24"/>
          <w:szCs w:val="24"/>
        </w:rPr>
        <w:t xml:space="preserve">La denominación </w:t>
      </w:r>
      <w:r>
        <w:rPr>
          <w:rFonts w:ascii="Times New Roman" w:cs="Times New Roman" w:eastAsia="Times New Roman" w:hAnsi="Times New Roman"/>
          <w:i/>
          <w:iCs/>
          <w:sz w:val="24"/>
          <w:szCs w:val="24"/>
        </w:rPr>
        <w:t xml:space="preserve">Dirección y Gestión de Diseño</w:t>
      </w:r>
      <w:r>
        <w:rPr>
          <w:rFonts w:ascii="Times New Roman" w:cs="Times New Roman" w:eastAsia="Times New Roman" w:hAnsi="Times New Roman"/>
          <w:sz w:val="24"/>
          <w:szCs w:val="24"/>
        </w:rPr>
        <w:t xml:space="preserve"> responde a la necesidad de formar profesionales que no solo diseñen, sino que </w:t>
      </w:r>
      <w:r>
        <w:rPr>
          <w:rFonts w:ascii="Times New Roman" w:cs="Times New Roman" w:eastAsia="Times New Roman" w:hAnsi="Times New Roman"/>
          <w:b/>
          <w:bCs/>
          <w:sz w:val="24"/>
          <w:szCs w:val="24"/>
        </w:rPr>
        <w:t xml:space="preserve">dirijan equipos creativos, gestionen proyectos de diseño y tomen decisiones estratégicas</w:t>
      </w:r>
      <w:r>
        <w:rPr>
          <w:rFonts w:ascii="Times New Roman" w:cs="Times New Roman" w:eastAsia="Times New Roman" w:hAnsi="Times New Roman"/>
          <w:sz w:val="24"/>
          <w:szCs w:val="24"/>
        </w:rPr>
        <w:t xml:space="preserve">. Esta visión se alinea con programas de licenciatura existentes: el </w:t>
      </w:r>
      <w:r>
        <w:rPr>
          <w:rFonts w:ascii="Times New Roman" w:cs="Times New Roman" w:eastAsia="Times New Roman" w:hAnsi="Times New Roman"/>
          <w:i/>
          <w:iCs/>
          <w:sz w:val="24"/>
          <w:szCs w:val="24"/>
        </w:rPr>
        <w:t xml:space="preserve">Grado en Gestión de Diseño (Bachelor in Design Management)</w:t>
      </w:r>
      <w:r>
        <w:rPr>
          <w:rFonts w:ascii="Times New Roman" w:cs="Times New Roman" w:eastAsia="Times New Roman" w:hAnsi="Times New Roman"/>
          <w:sz w:val="24"/>
          <w:szCs w:val="24"/>
        </w:rPr>
        <w:t xml:space="preserve"> de la Universidad Europea en Madrid, España; la </w:t>
      </w:r>
      <w:r>
        <w:rPr>
          <w:rFonts w:ascii="Times New Roman" w:cs="Times New Roman" w:eastAsia="Times New Roman" w:hAnsi="Times New Roman"/>
          <w:i/>
          <w:iCs/>
          <w:sz w:val="24"/>
          <w:szCs w:val="24"/>
        </w:rPr>
        <w:t xml:space="preserve">Licenciatura en Diseño Estratégico, Innovación y Cambio</w:t>
      </w:r>
      <w:r>
        <w:rPr>
          <w:rFonts w:ascii="Times New Roman" w:cs="Times New Roman" w:eastAsia="Times New Roman" w:hAnsi="Times New Roman"/>
          <w:sz w:val="24"/>
          <w:szCs w:val="24"/>
        </w:rPr>
        <w:t xml:space="preserve"> de la Universidad Anáhuac en México. A nivel global, el portal educations.com registra 25 programas de licenciatura en Design Management vigentes en 2025.</w:t>
      </w:r>
    </w:p>
    <w:p>
      <w:pPr>
        <w:spacing w:after="200" w:line="360"/>
        <w:ind w:firstLine="720"/>
        <w:jc w:val="both"/>
      </w:pPr>
      <w:r>
        <w:rPr>
          <w:rFonts w:ascii="Times New Roman" w:cs="Times New Roman" w:eastAsia="Times New Roman" w:hAnsi="Times New Roman"/>
          <w:sz w:val="24"/>
          <w:szCs w:val="24"/>
        </w:rPr>
        <w:t xml:space="preserve">El WEF (2025) refuerza esta pertinencia al identificar las habilidades core que definirán el mercado laboral hacia 2030. Entre las 10 habilidades de mayor crecimiento se encuentran: </w:t>
      </w:r>
      <w:r>
        <w:rPr>
          <w:rFonts w:ascii="Times New Roman" w:cs="Times New Roman" w:eastAsia="Times New Roman" w:hAnsi="Times New Roman"/>
          <w:b/>
          <w:bCs/>
          <w:sz w:val="24"/>
          <w:szCs w:val="24"/>
        </w:rPr>
        <w:t xml:space="preserve">pensamiento creativo (#4, 57% de empleadores la consideran esencial), liderazgo e influencia social (#7), pensamiento analítico (#9) y diseño y experiencia de usuario (#14, con un crecimiento neto de +45)</w:t>
      </w:r>
      <w:r>
        <w:rPr>
          <w:rFonts w:ascii="Times New Roman" w:cs="Times New Roman" w:eastAsia="Times New Roman" w:hAnsi="Times New Roman"/>
          <w:sz w:val="24"/>
          <w:szCs w:val="24"/>
        </w:rPr>
        <w:t xml:space="preserve">. Notablemente, la habilidad de </w:t>
      </w:r>
      <w:r>
        <w:rPr>
          <w:rFonts w:ascii="Times New Roman" w:cs="Times New Roman" w:eastAsia="Times New Roman" w:hAnsi="Times New Roman"/>
          <w:i/>
          <w:iCs/>
          <w:sz w:val="24"/>
          <w:szCs w:val="24"/>
        </w:rPr>
        <w:t xml:space="preserve">Design and User Experience</w:t>
      </w:r>
      <w:r>
        <w:rPr>
          <w:rFonts w:ascii="Times New Roman" w:cs="Times New Roman" w:eastAsia="Times New Roman" w:hAnsi="Times New Roman"/>
          <w:sz w:val="24"/>
          <w:szCs w:val="24"/>
        </w:rPr>
        <w:t xml:space="preserve"> es clasificada como habilidad emergente: aún no es core para la mayoría de las organizaciones (25%), pero su demanda crece aceleradamente, posicionándola como competencia crítica para 2030. Un programa denominado Dirección y Gestión de Diseño prepara profesionales exactamente en esta intersección entre pensamiento creativo, liderazgo estratégico y experiencia de usuario.</w:t>
      </w:r>
    </w:p>
    <w:p>
      <w:pPr>
        <w:pStyle w:val="Heading2"/>
        <w:spacing w:after="160" w:before="240"/>
      </w:pPr>
      <w:r>
        <w:rPr>
          <w:rFonts w:ascii="Times New Roman" w:cs="Times New Roman" w:eastAsia="Times New Roman" w:hAnsi="Times New Roman"/>
          <w:b/>
          <w:bCs/>
          <w:sz w:val="24"/>
          <w:szCs w:val="24"/>
        </w:rPr>
        <w:t xml:space="preserve">2.4 La frontera humano-máquina y la automatización</w:t>
      </w:r>
    </w:p>
    <w:p>
      <w:pPr>
        <w:spacing w:after="200" w:line="360"/>
        <w:ind w:firstLine="720"/>
        <w:jc w:val="both"/>
      </w:pPr>
      <w:r>
        <w:rPr>
          <w:rFonts w:ascii="Times New Roman" w:cs="Times New Roman" w:eastAsia="Times New Roman" w:hAnsi="Times New Roman"/>
          <w:sz w:val="24"/>
          <w:szCs w:val="24"/>
        </w:rPr>
        <w:t xml:space="preserve">El WEF (2025) presenta datos clave sobre la redistribución de tareas entre humanos y tecnología. Actualmente, el </w:t>
      </w:r>
      <w:r>
        <w:rPr>
          <w:rFonts w:ascii="Times New Roman" w:cs="Times New Roman" w:eastAsia="Times New Roman" w:hAnsi="Times New Roman"/>
          <w:b/>
          <w:bCs/>
          <w:sz w:val="24"/>
          <w:szCs w:val="24"/>
        </w:rPr>
        <w:t xml:space="preserve">47% de las tareas laborales son realizadas principalmente por humanos</w:t>
      </w:r>
      <w:r>
        <w:rPr>
          <w:rFonts w:ascii="Times New Roman" w:cs="Times New Roman" w:eastAsia="Times New Roman" w:hAnsi="Times New Roman"/>
          <w:sz w:val="24"/>
          <w:szCs w:val="24"/>
        </w:rPr>
        <w:t xml:space="preserve">, el 22% por tecnología y el 30% mediante colaboración humano-máquina. Para 2030, estas proporciones se redistribuirán de manera casi equitativa: aproximadamente un tercio para cada categoría. Del total de reducción en tareas humanas, el 81.5% será impulsado por automatización y solo el 18.5% por augmentación (colaboración humano-máquina).</w:t>
      </w:r>
    </w:p>
    <w:p>
      <w:pPr>
        <w:spacing w:after="200" w:line="360"/>
        <w:ind w:firstLine="720"/>
        <w:jc w:val="both"/>
      </w:pPr>
      <w:r>
        <w:rPr>
          <w:rFonts w:ascii="Times New Roman" w:cs="Times New Roman" w:eastAsia="Times New Roman" w:hAnsi="Times New Roman"/>
          <w:sz w:val="24"/>
          <w:szCs w:val="24"/>
        </w:rPr>
        <w:t xml:space="preserve">Estos datos tienen implicaciones directas para la formación en diseño: las tareas de ejecución visual repetitiva —maquetación, retoque fotográfico, composición básica, generación de variaciones— serán cada vez más automatizadas por herramientas de IA generativa. Sin embargo, las competencias de </w:t>
      </w:r>
      <w:r>
        <w:rPr>
          <w:rFonts w:ascii="Times New Roman" w:cs="Times New Roman" w:eastAsia="Times New Roman" w:hAnsi="Times New Roman"/>
          <w:b/>
          <w:bCs/>
          <w:sz w:val="24"/>
          <w:szCs w:val="24"/>
        </w:rPr>
        <w:t xml:space="preserve">dirección creativa, pensamiento estratégico, liderazgo de equipos, diseño de experiencias complejas y toma de decisiones con visión de negocio</w:t>
      </w:r>
      <w:r>
        <w:rPr>
          <w:rFonts w:ascii="Times New Roman" w:cs="Times New Roman" w:eastAsia="Times New Roman" w:hAnsi="Times New Roman"/>
          <w:sz w:val="24"/>
          <w:szCs w:val="24"/>
        </w:rPr>
        <w:t xml:space="preserve"> permanecen como tareas eminentemente humanas que requieren comprensión matizada, resolución de problemas complejos y procesamiento sensorial avanzado. El programa LDGD forma profesionales precisamente en estas competencias de alto valor humano.</w:t>
      </w:r>
    </w:p>
    <w:p>
      <w:pPr>
        <w:pStyle w:val="Heading1"/>
        <w:spacing w:after="160" w:before="360"/>
      </w:pPr>
      <w:r>
        <w:rPr>
          <w:rFonts w:ascii="Times New Roman" w:cs="Times New Roman" w:eastAsia="Times New Roman" w:hAnsi="Times New Roman"/>
          <w:b/>
          <w:bCs/>
          <w:sz w:val="28"/>
          <w:szCs w:val="28"/>
        </w:rPr>
        <w:t xml:space="preserve">3. Estructura Curricular por Fases</w:t>
      </w:r>
    </w:p>
    <w:p>
      <w:pPr>
        <w:spacing w:after="200" w:line="360"/>
        <w:jc w:val="both"/>
      </w:pPr>
      <w:r>
        <w:rPr>
          <w:rFonts w:ascii="Times New Roman" w:cs="Times New Roman" w:eastAsia="Times New Roman" w:hAnsi="Times New Roman"/>
          <w:sz w:val="24"/>
          <w:szCs w:val="24"/>
        </w:rPr>
        <w:t xml:space="preserve">El plan se organiza en cinco fases progresivas que transitan del dominio técnico a la dirección estratégica: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5960"/>
      </w:tblGrid>
      <w:tr>
        <w:tc>
          <w:tcPr>
            <w:tcW w:type="dxa" w:w="18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Fase</w:t>
            </w:r>
          </w:p>
        </w:tc>
        <w:tc>
          <w:tcPr>
            <w:tcW w:type="dxa" w:w="16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Semestres</w:t>
            </w:r>
          </w:p>
        </w:tc>
        <w:tc>
          <w:tcPr>
            <w:tcW w:type="dxa" w:w="5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Descripción y justificación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Fundamentos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1–2</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Construcción del lenguaje visual básico. Incluye Fundamentos del Diseño I y II, Tipografía, Ilustración, Semiótica e Historia del Diseño. Fundamentado en el modelo Bauhaus actualizado y las recomendaciones de NASAD (National Association of Schools of Art and Design).</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Sistemas de Identidad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3–5</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Desarrollo de pensamiento sistémico aplicado a marca e identidad. Sistemas de Identidad I–III, Diseño de Información, Estrategia de Marca y Fotografía. Responde a la demanda del 82% de empleadores en México que buscan acelerar automatización de procesos (WEF, 2025), requiriendo profesionales que gestionen sistemas visuales complejos.</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Experiencia e Interacción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6</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Diseño centrado en el usuario: Interacción, Experiencia y Prototipado Interactivo. El BLS proyecta crecimiento del 16% en diseño digital (2022–2032) y el WEF (2025) ubica a UI/UX Designers como el #8 empleo de mayor crecimiento global. Atiende la demanda crítica de perfiles UX/UI en México.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Dirección Estratégica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7–8</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Transición a roles de liderazgo: Diseño de Servicios, Liderazgo y Gestión de Diseño, Prácticas Profesionales y Proyecto Terminal I. Incluye Estrategia de Negocios para el Diseño, alineado con McKinsey sobre el valor de negocio del diseño y con la identificación del WEF (2025) de liderazgo e influencia social como la #7 habilidad de mayor crecimiento.</w:t>
            </w:r>
          </w:p>
        </w:tc>
      </w:tr>
      <w:tr>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Proyecto Profesional</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9</w:t>
            </w:r>
          </w:p>
        </w:tc>
        <w:tc>
          <w:tcPr>
            <w:tcW w:type="dxa" w:w="5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Integración final: Proyecto de Evaluación Final II. Evidencia terminal del dominio de competencias directivas y creativas del egresado.</w:t>
            </w:r>
          </w:p>
        </w:tc>
      </w:tr>
    </w:tbl>
    <w:p>
      <w:pPr>
        <w:spacing w:after="200"/>
      </w:pPr>
    </w:p>
    <w:p>
      <w:pPr>
        <w:pStyle w:val="Heading1"/>
        <w:spacing w:after="160" w:before="360"/>
      </w:pPr>
      <w:r>
        <w:rPr>
          <w:rFonts w:ascii="Times New Roman" w:cs="Times New Roman" w:eastAsia="Times New Roman" w:hAnsi="Times New Roman"/>
          <w:b/>
          <w:bCs/>
          <w:sz w:val="28"/>
          <w:szCs w:val="28"/>
        </w:rPr>
        <w:t xml:space="preserve">4. Sistema de Certificados Profesionales</w:t>
      </w:r>
    </w:p>
    <w:p>
      <w:pPr>
        <w:spacing w:after="200" w:line="360"/>
        <w:ind w:firstLine="720"/>
        <w:jc w:val="both"/>
      </w:pPr>
      <w:r>
        <w:rPr>
          <w:rFonts w:ascii="Times New Roman" w:cs="Times New Roman" w:eastAsia="Times New Roman" w:hAnsi="Times New Roman"/>
          <w:sz w:val="24"/>
          <w:szCs w:val="24"/>
        </w:rPr>
        <w:t xml:space="preserve">El plan incorpora un sistema innovador de </w:t>
      </w:r>
      <w:r>
        <w:rPr>
          <w:rFonts w:ascii="Times New Roman" w:cs="Times New Roman" w:eastAsia="Times New Roman" w:hAnsi="Times New Roman"/>
          <w:b/>
          <w:bCs/>
          <w:sz w:val="24"/>
          <w:szCs w:val="24"/>
        </w:rPr>
        <w:t xml:space="preserve">tres certificados profesionales</w:t>
      </w:r>
      <w:r>
        <w:rPr>
          <w:rFonts w:ascii="Times New Roman" w:cs="Times New Roman" w:eastAsia="Times New Roman" w:hAnsi="Times New Roman"/>
          <w:sz w:val="24"/>
          <w:szCs w:val="24"/>
        </w:rPr>
        <w:t xml:space="preserve"> de los cuales el estudiante elige dos, cursando seis materias especializadas (semestres 4–8). Este modelo responde a la recomendación del WEF (2025) sobre la necesidad de trayectorias flexibles y personalizables, así como a su hallazgo de que el 51% de las organizaciones planea reubicar a empleados de roles en declive hacia roles en crecimiento, lo que exige perfiles versátiles con múltiples especializaciones:</w:t>
      </w:r>
    </w:p>
    <w:p>
      <w:pPr>
        <w:spacing w:after="200" w:line="360"/>
        <w:ind w:firstLine="720"/>
        <w:jc w:val="both"/>
      </w:pPr>
      <w:r>
        <w:rPr>
          <w:rFonts w:ascii="Times New Roman" w:cs="Times New Roman" w:eastAsia="Times New Roman" w:hAnsi="Times New Roman"/>
          <w:b/>
          <w:bCs/>
          <w:sz w:val="24"/>
          <w:szCs w:val="24"/>
        </w:rPr>
        <w:t xml:space="preserve">Certificado A: Dirección de Marca y Dirección de Arte. </w:t>
      </w:r>
      <w:r>
        <w:rPr>
          <w:rFonts w:ascii="Times New Roman" w:cs="Times New Roman" w:eastAsia="Times New Roman" w:hAnsi="Times New Roman"/>
          <w:sz w:val="24"/>
          <w:szCs w:val="24"/>
        </w:rPr>
        <w:t xml:space="preserve">Forma directores de arte, brand designers y especialistas en identidad visual. Incluye Motion y Sistemas de Contenido, Producción Visual Avanzada y Gestión Estratégica de Marca.</w:t>
      </w:r>
    </w:p>
    <w:p>
      <w:pPr>
        <w:spacing w:after="200" w:line="360"/>
        <w:ind w:firstLine="720"/>
        <w:jc w:val="both"/>
      </w:pPr>
      <w:r>
        <w:rPr>
          <w:rFonts w:ascii="Times New Roman" w:cs="Times New Roman" w:eastAsia="Times New Roman" w:hAnsi="Times New Roman"/>
          <w:b/>
          <w:bCs/>
          <w:sz w:val="24"/>
          <w:szCs w:val="24"/>
        </w:rPr>
        <w:t xml:space="preserve">Certificado B: Producto Digital y Sistemas Interactivos. </w:t>
      </w:r>
      <w:r>
        <w:rPr>
          <w:rFonts w:ascii="Times New Roman" w:cs="Times New Roman" w:eastAsia="Times New Roman" w:hAnsi="Times New Roman"/>
          <w:sz w:val="24"/>
          <w:szCs w:val="24"/>
        </w:rPr>
        <w:t xml:space="preserve">Perfil UX/Product Designer. Incluye Sistemas de Diseño Avanzados, Analítica y Métricas de Producto Digital, y Accesibilidad y Experiencia Inclusiva. Responde directamente al crecimiento proyectado de UI/UX Designers como #8 rol de mayor crecimiento global (WEF, 2025) y al 16% de crecimiento en empleos de diseño digital (BLS, 2024).</w:t>
      </w:r>
    </w:p>
    <w:p>
      <w:pPr>
        <w:spacing w:after="200" w:line="360"/>
        <w:ind w:firstLine="720"/>
        <w:jc w:val="both"/>
      </w:pPr>
      <w:r>
        <w:rPr>
          <w:rFonts w:ascii="Times New Roman" w:cs="Times New Roman" w:eastAsia="Times New Roman" w:hAnsi="Times New Roman"/>
          <w:b/>
          <w:bCs/>
          <w:sz w:val="24"/>
          <w:szCs w:val="24"/>
        </w:rPr>
        <w:t xml:space="preserve">Certificado C: Gestión Estratégica de Servicios. </w:t>
      </w:r>
      <w:r>
        <w:rPr>
          <w:rFonts w:ascii="Times New Roman" w:cs="Times New Roman" w:eastAsia="Times New Roman" w:hAnsi="Times New Roman"/>
          <w:sz w:val="24"/>
          <w:szCs w:val="24"/>
        </w:rPr>
        <w:t xml:space="preserve">Perfil de service designer y consultor de innovación. Incluye Diseño de Workshops Estratégicos, Modelos de Innovación Organizacional y Gestión del Cambio. Alineado con la identificación del WEF (2025) de Talent Management (+58) y Systems Thinking (+51) como habilidades de rápido crecimiento, y con la tendencia global de design thinking aplicado a transformación organizacional.</w:t>
      </w:r>
    </w:p>
    <w:p>
      <w:pPr>
        <w:pStyle w:val="Heading1"/>
        <w:spacing w:after="160" w:before="360"/>
      </w:pPr>
      <w:r>
        <w:rPr>
          <w:rFonts w:ascii="Times New Roman" w:cs="Times New Roman" w:eastAsia="Times New Roman" w:hAnsi="Times New Roman"/>
          <w:b/>
          <w:bCs/>
          <w:sz w:val="28"/>
          <w:szCs w:val="28"/>
        </w:rPr>
        <w:t xml:space="preserve">5. Materias de Sinergia Interdisciplinaria</w:t>
      </w:r>
    </w:p>
    <w:p>
      <w:pPr>
        <w:spacing w:after="200" w:line="360"/>
        <w:ind w:firstLine="720"/>
        <w:jc w:val="both"/>
      </w:pPr>
      <w:r>
        <w:rPr>
          <w:rFonts w:ascii="Times New Roman" w:cs="Times New Roman" w:eastAsia="Times New Roman" w:hAnsi="Times New Roman"/>
          <w:sz w:val="24"/>
          <w:szCs w:val="24"/>
        </w:rPr>
        <w:t xml:space="preserve">El plan incluye seis Sinergias (SI–SVI) que constituyen un eje transversal </w:t>
      </w:r>
      <w:r>
        <w:rPr>
          <w:rFonts w:ascii="Times New Roman" w:cs="Times New Roman" w:eastAsia="Times New Roman" w:hAnsi="Times New Roman"/>
          <w:b/>
          <w:bCs/>
          <w:sz w:val="24"/>
          <w:szCs w:val="24"/>
        </w:rPr>
        <w:t xml:space="preserve">compartido con todos los programas de la Escuela de Arte y Diseño de la UDEM</w:t>
      </w:r>
      <w:r>
        <w:rPr>
          <w:rFonts w:ascii="Times New Roman" w:cs="Times New Roman" w:eastAsia="Times New Roman" w:hAnsi="Times New Roman"/>
          <w:sz w:val="24"/>
          <w:szCs w:val="24"/>
        </w:rPr>
        <w:t xml:space="preserve">. Este modelo permite que estudiantes de distintas licenciaturas —Animación, Arquitectura, Diseño Industrial, Artes, entre otras— colaboren en proyectos conjuntos, replicando la dinámica interdisciplinaria del entorno profesional real. Las seis Sinergias son: Herramientas Digitales para el Diseño (SI), Dirección Creativa para Medios Audiovisuales e Interactivos (SII), Diseño de Futuros (SIII), Producción Artística Interdisciplinaria (SIV), Investigación para el Diseño (SV) y Estrategia de Negocios para el Diseño (SVI). Esta estructura atiende directamente la recomendación del WEF (2025) de que 59 de cada 100 trabajadores requerirán reentrenamiento significativo hacia 2030, y fomenta las competencias de liderazgo, trabajo interdisciplinario y empatía que el mercado demanda.</w:t>
      </w:r>
    </w:p>
    <w:p>
      <w:pPr>
        <w:pStyle w:val="Heading1"/>
        <w:spacing w:after="160" w:before="360"/>
      </w:pPr>
      <w:r>
        <w:rPr>
          <w:rFonts w:ascii="Times New Roman" w:cs="Times New Roman" w:eastAsia="Times New Roman" w:hAnsi="Times New Roman"/>
          <w:b/>
          <w:bCs/>
          <w:sz w:val="28"/>
          <w:szCs w:val="28"/>
        </w:rPr>
        <w:t xml:space="preserve">6. Perfil de Egreso y Competencias</w:t>
      </w:r>
    </w:p>
    <w:p>
      <w:pPr>
        <w:spacing w:after="200" w:line="360"/>
        <w:ind w:firstLine="720"/>
        <w:jc w:val="both"/>
      </w:pPr>
      <w:r>
        <w:rPr>
          <w:rFonts w:ascii="Times New Roman" w:cs="Times New Roman" w:eastAsia="Times New Roman" w:hAnsi="Times New Roman"/>
          <w:sz w:val="24"/>
          <w:szCs w:val="24"/>
        </w:rPr>
        <w:t xml:space="preserve">El programa desarrolla 12 competencias profesionales alineadas con los marcos del WEF (2025) y la ANUIES. Cada competencia se formula como un desempeño integral que articula acción, método, principios y finalidad:</w:t>
      </w:r>
    </w:p>
    <w:p>
      <w:pPr>
        <w:spacing w:after="200" w:line="360"/>
        <w:ind w:firstLine="720"/>
        <w:jc w:val="both"/>
      </w:pPr>
      <w:r>
        <w:rPr>
          <w:rFonts w:ascii="Times New Roman" w:cs="Times New Roman" w:eastAsia="Times New Roman" w:hAnsi="Times New Roman"/>
          <w:b/>
          <w:bCs/>
          <w:sz w:val="24"/>
          <w:szCs w:val="24"/>
        </w:rPr>
        <w:t xml:space="preserve">C1. Dominio del lenguaje visual y comunicación gráfica. </w:t>
      </w:r>
      <w:r>
        <w:rPr>
          <w:rFonts w:ascii="Times New Roman" w:cs="Times New Roman" w:eastAsia="Times New Roman" w:hAnsi="Times New Roman"/>
          <w:sz w:val="24"/>
          <w:szCs w:val="24"/>
        </w:rPr>
        <w:t xml:space="preserve">Desarrolla sistemas visuales integrales mediante la dirección de concepto y la construcción de narrativas gráficas coherentes, aplicando principios de jerarquía, legibilidad, diferenciación cultural y accesibilidad visual, con el fin de crear identidades y ecosistemas gráficos escalables que generen experiencias consistentes, pertinentes y con impacto social.</w:t>
      </w:r>
    </w:p>
    <w:p>
      <w:pPr>
        <w:spacing w:after="200" w:line="360"/>
        <w:ind w:firstLine="720"/>
        <w:jc w:val="both"/>
      </w:pPr>
      <w:r>
        <w:rPr>
          <w:rFonts w:ascii="Times New Roman" w:cs="Times New Roman" w:eastAsia="Times New Roman" w:hAnsi="Times New Roman"/>
          <w:b/>
          <w:bCs/>
          <w:sz w:val="24"/>
          <w:szCs w:val="24"/>
        </w:rPr>
        <w:t xml:space="preserve">C2. Diseño y gestión de sistemas de identidad. </w:t>
      </w:r>
      <w:r>
        <w:rPr>
          <w:rFonts w:ascii="Times New Roman" w:cs="Times New Roman" w:eastAsia="Times New Roman" w:hAnsi="Times New Roman"/>
          <w:sz w:val="24"/>
          <w:szCs w:val="24"/>
        </w:rPr>
        <w:t xml:space="preserve">Concibe, estructura y gestiona sistemas de identidad de marca mediante la articulación de elementos verbales, visuales y experienciales, aplicando metodologías de auditoría de marca, arquitectura de identidad y guías de estilo, con el propósito de garantizar coherencia, diferenciación y valor estratégico en todos los puntos de contacto de una organización.</w:t>
      </w:r>
    </w:p>
    <w:p>
      <w:pPr>
        <w:spacing w:after="200" w:line="360"/>
        <w:ind w:firstLine="720"/>
        <w:jc w:val="both"/>
      </w:pPr>
      <w:r>
        <w:rPr>
          <w:rFonts w:ascii="Times New Roman" w:cs="Times New Roman" w:eastAsia="Times New Roman" w:hAnsi="Times New Roman"/>
          <w:b/>
          <w:bCs/>
          <w:sz w:val="24"/>
          <w:szCs w:val="24"/>
        </w:rPr>
        <w:t xml:space="preserve">C3. Diseño de experiencias e interacción digital. </w:t>
      </w:r>
      <w:r>
        <w:rPr>
          <w:rFonts w:ascii="Times New Roman" w:cs="Times New Roman" w:eastAsia="Times New Roman" w:hAnsi="Times New Roman"/>
          <w:sz w:val="24"/>
          <w:szCs w:val="24"/>
        </w:rPr>
        <w:t xml:space="preserve">Diseña experiencias de usuario e interfaces digitales centradas en las personas mediante investigación de usuarios, prototipado iterativo y pruebas de usabilidad, aplicando principios de arquitectura de información, diseño de interacción y accesibilidad, con el fin de crear productos digitales funcionales, inclusivos y que generen valor medible para usuarios y organizaciones.</w:t>
      </w:r>
    </w:p>
    <w:p>
      <w:pPr>
        <w:spacing w:after="200" w:line="360"/>
        <w:ind w:firstLine="720"/>
        <w:jc w:val="both"/>
      </w:pPr>
      <w:r>
        <w:rPr>
          <w:rFonts w:ascii="Times New Roman" w:cs="Times New Roman" w:eastAsia="Times New Roman" w:hAnsi="Times New Roman"/>
          <w:b/>
          <w:bCs/>
          <w:sz w:val="24"/>
          <w:szCs w:val="24"/>
        </w:rPr>
        <w:t xml:space="preserve">C4. Dirección estratégica de proyectos de diseño. </w:t>
      </w:r>
      <w:r>
        <w:rPr>
          <w:rFonts w:ascii="Times New Roman" w:cs="Times New Roman" w:eastAsia="Times New Roman" w:hAnsi="Times New Roman"/>
          <w:sz w:val="24"/>
          <w:szCs w:val="24"/>
        </w:rPr>
        <w:t xml:space="preserve">Dirige proyectos de diseño desde su conceptualización hasta su implementación mediante la definición de alcances, cronogramas, presupuestos y métricas de éxito, aplicando marcos de gestión ágil y pensamiento estratégico, con el propósito de asegurar la viabilidad, calidad y alineación de las soluciones de diseño con los objetivos de negocio.</w:t>
      </w:r>
    </w:p>
    <w:p>
      <w:pPr>
        <w:spacing w:after="200" w:line="360"/>
        <w:ind w:firstLine="720"/>
        <w:jc w:val="both"/>
      </w:pPr>
      <w:r>
        <w:rPr>
          <w:rFonts w:ascii="Times New Roman" w:cs="Times New Roman" w:eastAsia="Times New Roman" w:hAnsi="Times New Roman"/>
          <w:b/>
          <w:bCs/>
          <w:sz w:val="24"/>
          <w:szCs w:val="24"/>
        </w:rPr>
        <w:t xml:space="preserve">C5. Gestión de producción y recursos. </w:t>
      </w:r>
      <w:r>
        <w:rPr>
          <w:rFonts w:ascii="Times New Roman" w:cs="Times New Roman" w:eastAsia="Times New Roman" w:hAnsi="Times New Roman"/>
          <w:sz w:val="24"/>
          <w:szCs w:val="24"/>
        </w:rPr>
        <w:t xml:space="preserve">Gestiona procesos de producción gráfica, audiovisual y digital mediante la selección de materiales, tecnologías y proveedores, aplicando criterios de calidad, eficiencia, sustentabilidad y control presupuestal, con el fin de materializar proyectos de diseño con estándares profesionales y responsabilidad ambiental.</w:t>
      </w:r>
    </w:p>
    <w:p>
      <w:pPr>
        <w:spacing w:after="200" w:line="360"/>
        <w:ind w:firstLine="720"/>
        <w:jc w:val="both"/>
      </w:pPr>
      <w:r>
        <w:rPr>
          <w:rFonts w:ascii="Times New Roman" w:cs="Times New Roman" w:eastAsia="Times New Roman" w:hAnsi="Times New Roman"/>
          <w:b/>
          <w:bCs/>
          <w:sz w:val="24"/>
          <w:szCs w:val="24"/>
        </w:rPr>
        <w:t xml:space="preserve">C6. Pensamiento crítico y de investigación. </w:t>
      </w:r>
      <w:r>
        <w:rPr>
          <w:rFonts w:ascii="Times New Roman" w:cs="Times New Roman" w:eastAsia="Times New Roman" w:hAnsi="Times New Roman"/>
          <w:sz w:val="24"/>
          <w:szCs w:val="24"/>
        </w:rPr>
        <w:t xml:space="preserve">Investiga y analiza problemas complejos de diseño mediante la revisión sistemática de fuentes, análisis de datos cualitativos y cuantitativos, y fundamentación teórica, aplicando métodos de investigación en diseño y pensamiento crítico, con el propósito de sustentar decisiones proyectuales con evidencia y generar conocimiento aplicable al campo disciplinar.</w:t>
      </w:r>
    </w:p>
    <w:p>
      <w:pPr>
        <w:spacing w:after="200" w:line="360"/>
        <w:ind w:firstLine="720"/>
        <w:jc w:val="both"/>
      </w:pPr>
      <w:r>
        <w:rPr>
          <w:rFonts w:ascii="Times New Roman" w:cs="Times New Roman" w:eastAsia="Times New Roman" w:hAnsi="Times New Roman"/>
          <w:b/>
          <w:bCs/>
          <w:sz w:val="24"/>
          <w:szCs w:val="24"/>
        </w:rPr>
        <w:t xml:space="preserve">C7. Innovación y desarrollo creativo. </w:t>
      </w:r>
      <w:r>
        <w:rPr>
          <w:rFonts w:ascii="Times New Roman" w:cs="Times New Roman" w:eastAsia="Times New Roman" w:hAnsi="Times New Roman"/>
          <w:sz w:val="24"/>
          <w:szCs w:val="24"/>
        </w:rPr>
        <w:t xml:space="preserve">Genera soluciones originales e innovadoras ante retos de diseño mediante la aplicación de metodologías de ideación, design thinking y experimentación creativa, integrando referentes culturales, tendencias emergentes y tecnologías disruptivas, con el fin de proponer intervenciones de alto valor diferenciador que anticipen necesidades futuras del mercado y la sociedad.</w:t>
      </w:r>
    </w:p>
    <w:p>
      <w:pPr>
        <w:spacing w:after="200" w:line="360"/>
        <w:ind w:firstLine="720"/>
        <w:jc w:val="both"/>
      </w:pPr>
      <w:r>
        <w:rPr>
          <w:rFonts w:ascii="Times New Roman" w:cs="Times New Roman" w:eastAsia="Times New Roman" w:hAnsi="Times New Roman"/>
          <w:b/>
          <w:bCs/>
          <w:sz w:val="24"/>
          <w:szCs w:val="24"/>
        </w:rPr>
        <w:t xml:space="preserve">C8. Liderazgo y trabajo interdisciplinario. </w:t>
      </w:r>
      <w:r>
        <w:rPr>
          <w:rFonts w:ascii="Times New Roman" w:cs="Times New Roman" w:eastAsia="Times New Roman" w:hAnsi="Times New Roman"/>
          <w:sz w:val="24"/>
          <w:szCs w:val="24"/>
        </w:rPr>
        <w:t xml:space="preserve">Lidera y colabora en equipos multidisciplinarios mediante la facilitación de procesos creativos, la negociación de ideas y la gestión de dinámicas grupales, aplicando habilidades de comunicación asertiva, empatía y resolución de conflictos, con el propósito de integrar perspectivas diversas en soluciones de diseño complejas y de alto impacto.</w:t>
      </w:r>
    </w:p>
    <w:p>
      <w:pPr>
        <w:spacing w:after="200" w:line="360"/>
        <w:ind w:firstLine="720"/>
        <w:jc w:val="both"/>
      </w:pPr>
      <w:r>
        <w:rPr>
          <w:rFonts w:ascii="Times New Roman" w:cs="Times New Roman" w:eastAsia="Times New Roman" w:hAnsi="Times New Roman"/>
          <w:b/>
          <w:bCs/>
          <w:sz w:val="24"/>
          <w:szCs w:val="24"/>
        </w:rPr>
        <w:t xml:space="preserve">C9. Comunicación efectiva y argumentación. </w:t>
      </w:r>
      <w:r>
        <w:rPr>
          <w:rFonts w:ascii="Times New Roman" w:cs="Times New Roman" w:eastAsia="Times New Roman" w:hAnsi="Times New Roman"/>
          <w:sz w:val="24"/>
          <w:szCs w:val="24"/>
        </w:rPr>
        <w:t xml:space="preserve">Comunica y defiende propuestas de diseño ante audiencias diversas mediante presentaciones profesionales, documentación técnica y narrativas persuasivas, aplicando técnicas de storytelling, retórica visual y argumentación basada en evidencia, con el fin de lograr la aprobación, adopción e implementación efectiva de soluciones de diseño.</w:t>
      </w:r>
    </w:p>
    <w:p>
      <w:pPr>
        <w:spacing w:after="200" w:line="360"/>
        <w:ind w:firstLine="720"/>
        <w:jc w:val="both"/>
      </w:pPr>
      <w:r>
        <w:rPr>
          <w:rFonts w:ascii="Times New Roman" w:cs="Times New Roman" w:eastAsia="Times New Roman" w:hAnsi="Times New Roman"/>
          <w:b/>
          <w:bCs/>
          <w:sz w:val="24"/>
          <w:szCs w:val="24"/>
        </w:rPr>
        <w:t xml:space="preserve">C10. Ética profesional y responsabilidad social. </w:t>
      </w:r>
      <w:r>
        <w:rPr>
          <w:rFonts w:ascii="Times New Roman" w:cs="Times New Roman" w:eastAsia="Times New Roman" w:hAnsi="Times New Roman"/>
          <w:sz w:val="24"/>
          <w:szCs w:val="24"/>
        </w:rPr>
        <w:t xml:space="preserve">Ejerce la profesión del diseño con integridad y responsabilidad social mediante la consideración de impactos éticos, culturales y ambientales en cada decisión proyectual, aplicando marcos de diseño inclusivo, comercio justo y sustentabilidad, con el propósito de contribuir al bienestar colectivo y al desarrollo equitativo de la sociedad.</w:t>
      </w:r>
    </w:p>
    <w:p>
      <w:pPr>
        <w:spacing w:after="200" w:line="360"/>
        <w:ind w:firstLine="720"/>
        <w:jc w:val="both"/>
      </w:pPr>
      <w:r>
        <w:rPr>
          <w:rFonts w:ascii="Times New Roman" w:cs="Times New Roman" w:eastAsia="Times New Roman" w:hAnsi="Times New Roman"/>
          <w:b/>
          <w:bCs/>
          <w:sz w:val="24"/>
          <w:szCs w:val="24"/>
        </w:rPr>
        <w:t xml:space="preserve">C11. Uso estratégico de tecnología digital. </w:t>
      </w:r>
      <w:r>
        <w:rPr>
          <w:rFonts w:ascii="Times New Roman" w:cs="Times New Roman" w:eastAsia="Times New Roman" w:hAnsi="Times New Roman"/>
          <w:sz w:val="24"/>
          <w:szCs w:val="24"/>
        </w:rPr>
        <w:t xml:space="preserve">Integra herramientas y plataformas tecnológicas emergentes en el proceso de diseño mediante la evaluación crítica de software, inteligencia artificial generativa y sistemas de automatización, aplicando criterios de pertinencia, eficiencia y escalabilidad, con el fin de optimizar flujos de trabajo, ampliar capacidades creativas y mantener competitividad profesional en un entorno tecnológico cambiante.</w:t>
      </w:r>
    </w:p>
    <w:p>
      <w:pPr>
        <w:spacing w:after="200" w:line="360"/>
        <w:ind w:firstLine="720"/>
        <w:jc w:val="both"/>
      </w:pPr>
      <w:r>
        <w:rPr>
          <w:rFonts w:ascii="Times New Roman" w:cs="Times New Roman" w:eastAsia="Times New Roman" w:hAnsi="Times New Roman"/>
          <w:b/>
          <w:bCs/>
          <w:sz w:val="24"/>
          <w:szCs w:val="24"/>
        </w:rPr>
        <w:t xml:space="preserve">C12. Emprendimiento y visión de negocios. </w:t>
      </w:r>
      <w:r>
        <w:rPr>
          <w:rFonts w:ascii="Times New Roman" w:cs="Times New Roman" w:eastAsia="Times New Roman" w:hAnsi="Times New Roman"/>
          <w:sz w:val="24"/>
          <w:szCs w:val="24"/>
        </w:rPr>
        <w:t xml:space="preserve">Desarrolla e implementa modelos de negocio basados en diseño mediante la identificación de oportunidades de mercado, la formulación de propuestas de valor y la gestión de emprendimientos creativos, aplicando herramientas de planeación estratégica, análisis financiero básico y desarrollo de portafolio profesional, con el propósito de generar iniciativas rentables, sostenibles y con impacto positivo en la industria creativa.</w:t>
      </w:r>
    </w:p>
    <w:p>
      <w:pPr>
        <w:pStyle w:val="Heading1"/>
        <w:spacing w:after="160" w:before="360"/>
      </w:pPr>
      <w:r>
        <w:rPr>
          <w:rFonts w:ascii="Times New Roman" w:cs="Times New Roman" w:eastAsia="Times New Roman" w:hAnsi="Times New Roman"/>
          <w:b/>
          <w:bCs/>
          <w:sz w:val="28"/>
          <w:szCs w:val="28"/>
        </w:rPr>
        <w:t xml:space="preserve">7. Alineación con las Habilidades Core WEF 2030</w:t>
      </w:r>
    </w:p>
    <w:p>
      <w:pPr>
        <w:spacing w:after="200" w:line="360"/>
        <w:ind w:firstLine="720"/>
        <w:jc w:val="both"/>
      </w:pPr>
      <w:r>
        <w:rPr>
          <w:rFonts w:ascii="Times New Roman" w:cs="Times New Roman" w:eastAsia="Times New Roman" w:hAnsi="Times New Roman"/>
          <w:sz w:val="24"/>
          <w:szCs w:val="24"/>
        </w:rPr>
        <w:t xml:space="preserve">La siguiente tabla muestra la correspondencia directa entre las habilidades identificadas por el WEF (2025) como de mayor crecimiento hacia 2030 y las competencias del programa LDGD que las desarrollan: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Habilidad WEF 2025–2030</w:t>
            </w:r>
          </w:p>
        </w:tc>
        <w:tc>
          <w:tcPr>
            <w:tcW w:type="dxa" w:w="12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Crecimiento</w:t>
            </w:r>
          </w:p>
        </w:tc>
        <w:tc>
          <w:tcPr>
            <w:tcW w:type="dxa" w:w="49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tcPr>
          <w:p>
            <w:r>
              <w:rPr>
                <w:rFonts w:ascii="Times New Roman" w:cs="Times New Roman" w:eastAsia="Times New Roman" w:hAnsi="Times New Roman"/>
                <w:b/>
                <w:bCs/>
                <w:color w:val="FFFFFF"/>
                <w:sz w:val="20"/>
                <w:szCs w:val="20"/>
              </w:rPr>
              <w:t xml:space="preserve">Competencia LDGD</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AI and Big Data</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+87</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C11. Uso estratégico de tecnología digital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Technological Literacy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+68</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C11. Uso estratégico de tecnología digital; C3. Diseño de experiencias digitales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Creative Thinking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+66</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C7. Innovación y desarrollo creativo; C1. Dominio del lenguaje visual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Resilience, Flexibility, Agility</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+66</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C4. Dirección estratégica de proyectos; C8. Liderazgo interdisciplinario</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Curiosity and Lifelong Learning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+61</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C6. Pensamiento crítico e investigación; C7. Innovación</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Leadership and Social Influence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+58</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C8. Liderazgo y trabajo interdisciplinario; C4. Dirección estratégica</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Talent Management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+58</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C4. Dirección estratégica; C5. Gestión de producción y recursos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Analytical Thinking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+55</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C6. Pensamiento crítico e investigación; C12. Visión de negocios</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Environmental Stewardship</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+53</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C10. Ética profesional y responsabilidad social; C5. Gestión sustentable</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Systems Thinking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+51</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C2. Sistemas de identidad; C3. Experiencias e interacción digital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Design and User Experience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+45</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C3. Diseño de experiencias; C2. Sistemas de identidad; C1. Lenguaje visual</w:t>
            </w:r>
          </w:p>
        </w:tc>
      </w:tr>
      <w:tr>
        <w:tc>
          <w:tcPr>
            <w:tcW w:type="dxa" w:w="3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Empathy and Active Listening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+46</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line="280"/>
            </w:pPr>
            <w:r>
              <w:rPr>
                <w:rFonts w:ascii="Times New Roman" w:cs="Times New Roman" w:eastAsia="Times New Roman" w:hAnsi="Times New Roman"/>
                <w:sz w:val="20"/>
                <w:szCs w:val="20"/>
              </w:rPr>
              <w:t xml:space="preserve">C8. Liderazgo interdisciplinario; C9. Comunicación efectiva</w:t>
            </w:r>
          </w:p>
        </w:tc>
      </w:tr>
    </w:tbl>
    <w:p>
      <w:pPr>
        <w:spacing w:after="200"/>
      </w:pPr>
    </w:p>
    <w:p>
      <w:pPr>
        <w:pStyle w:val="Heading1"/>
        <w:spacing w:after="160" w:before="360"/>
      </w:pPr>
      <w:r>
        <w:rPr>
          <w:rFonts w:ascii="Times New Roman" w:cs="Times New Roman" w:eastAsia="Times New Roman" w:hAnsi="Times New Roman"/>
          <w:b/>
          <w:bCs/>
          <w:sz w:val="28"/>
          <w:szCs w:val="28"/>
        </w:rPr>
        <w:t xml:space="preserve">8. Conclusión</w:t>
      </w:r>
    </w:p>
    <w:p>
      <w:pPr>
        <w:spacing w:after="200" w:line="360"/>
        <w:ind w:firstLine="720"/>
        <w:jc w:val="both"/>
      </w:pPr>
      <w:r>
        <w:rPr>
          <w:rFonts w:ascii="Times New Roman" w:cs="Times New Roman" w:eastAsia="Times New Roman" w:hAnsi="Times New Roman"/>
          <w:sz w:val="24"/>
          <w:szCs w:val="24"/>
        </w:rPr>
        <w:t xml:space="preserve">El Plan 2027 de la LDGD responde con datos verificables a las necesidades del mercado laboral mexicano y global. Los hallazgos del WEF (2025) son inequívocos: el diseño gráfico de ejecución se encuentra entre los 15 empleos de mayor declive mundial, mientras que los roles que combinan diseño con estrategia, liderazgo y tecnología están en franco crecimiento. En México, donde el 95% de las empresas anticipa transformación por IA y el 40% de las habilidades core cambiarán para 2030, la urgencia de este rediseño curricular es crítica.</w:t>
      </w:r>
    </w:p>
    <w:p>
      <w:pPr>
        <w:spacing w:after="200" w:line="360"/>
        <w:ind w:firstLine="720"/>
        <w:jc w:val="both"/>
      </w:pPr>
      <w:r>
        <w:rPr>
          <w:rFonts w:ascii="Times New Roman" w:cs="Times New Roman" w:eastAsia="Times New Roman" w:hAnsi="Times New Roman"/>
          <w:sz w:val="24"/>
          <w:szCs w:val="24"/>
        </w:rPr>
        <w:t xml:space="preserve">La estructura por fases garantiza una progresión coherente del aprendizaje; el sistema de certificados ofrece flexibilidad y especialización; las materias de sinergia aseguran la vinculación con la práctica profesional interdisciplinaria; y las 12 competencias se alinean directamente con las habilidades que el WEF identifica como las de mayor crecimiento hacia 2030. El programa busca reducir la tasa de informalidad del 36.7% reportada para diseñadores en México (Data México, 2025) formando profesionales con competencias de dirección, gestión y liderazgo que excedan el perfil técnico tradicional y respondan a la realidad de un mercado laboral transformado por la inteligencia artificial.</w:t>
      </w:r>
    </w:p>
    <w:p>
      <w:r>
        <w:br w:type="page"/>
      </w:r>
    </w:p>
    <w:p>
      <w:pPr>
        <w:pStyle w:val="Heading1"/>
        <w:spacing w:after="160" w:before="360"/>
      </w:pPr>
      <w:r>
        <w:rPr>
          <w:rFonts w:ascii="Times New Roman" w:cs="Times New Roman" w:eastAsia="Times New Roman" w:hAnsi="Times New Roman"/>
          <w:b/>
          <w:bCs/>
          <w:sz w:val="28"/>
          <w:szCs w:val="28"/>
        </w:rPr>
        <w:t xml:space="preserve">Referencias</w:t>
      </w:r>
    </w:p>
    <w:p>
      <w:pPr>
        <w:spacing w:after="120" w:line="360"/>
        <w:ind w:left="720" w:hanging="720"/>
      </w:pPr>
      <w:r>
        <w:rPr>
          <w:rFonts w:ascii="Times New Roman" w:cs="Times New Roman" w:eastAsia="Times New Roman" w:hAnsi="Times New Roman"/>
          <w:sz w:val="24"/>
          <w:szCs w:val="24"/>
        </w:rPr>
        <w:t xml:space="preserve">Bureau of Labor Statistics. (2024). Occupational outlook handbook: Web developers and digital designers. U.S. Department of Labor. https://www.bls.gov/ooh/computer-and-information-technology/web-developers.htm</w:t>
      </w:r>
    </w:p>
    <w:p>
      <w:pPr>
        <w:spacing w:after="120" w:line="360"/>
        <w:ind w:left="720" w:hanging="720"/>
      </w:pPr>
      <w:r>
        <w:rPr>
          <w:rFonts w:ascii="Times New Roman" w:cs="Times New Roman" w:eastAsia="Times New Roman" w:hAnsi="Times New Roman"/>
          <w:sz w:val="24"/>
          <w:szCs w:val="24"/>
        </w:rPr>
        <w:t xml:space="preserve">Foro Económico Mundial. (2025). The future of jobs report 2025. World Economic Forum. https://www.weforum.org/publications/the-future-of-jobs-report-2025/</w:t>
      </w:r>
    </w:p>
    <w:p>
      <w:pPr>
        <w:spacing w:after="120" w:line="360"/>
        <w:ind w:left="720" w:hanging="720"/>
      </w:pPr>
      <w:r>
        <w:rPr>
          <w:rFonts w:ascii="Times New Roman" w:cs="Times New Roman" w:eastAsia="Times New Roman" w:hAnsi="Times New Roman"/>
          <w:sz w:val="24"/>
          <w:szCs w:val="24"/>
        </w:rPr>
        <w:t xml:space="preserve">Instituto Mexicano para la Competitividad. (2025). Compara carreras 2025. IMCO. https://comparacarreras.imco.org.mx</w:t>
      </w:r>
    </w:p>
    <w:p>
      <w:pPr>
        <w:spacing w:after="120" w:line="360"/>
        <w:ind w:left="720" w:hanging="720"/>
      </w:pPr>
      <w:r>
        <w:rPr>
          <w:rFonts w:ascii="Times New Roman" w:cs="Times New Roman" w:eastAsia="Times New Roman" w:hAnsi="Times New Roman"/>
          <w:sz w:val="24"/>
          <w:szCs w:val="24"/>
        </w:rPr>
        <w:t xml:space="preserve">Instituto Mexicano para la Competitividad. (2025). Reporte futuro del empleo 2025. IMCO. https://imco.org.mx/reporte-futuro-del-empleo-2025/</w:t>
      </w:r>
    </w:p>
    <w:p>
      <w:pPr>
        <w:spacing w:after="120" w:line="360"/>
        <w:ind w:left="720" w:hanging="720"/>
      </w:pPr>
      <w:r>
        <w:rPr>
          <w:rFonts w:ascii="Times New Roman" w:cs="Times New Roman" w:eastAsia="Times New Roman" w:hAnsi="Times New Roman"/>
          <w:sz w:val="24"/>
          <w:szCs w:val="24"/>
        </w:rPr>
        <w:t xml:space="preserve">ManpowerGroup. (2025). Encuesta de escasez de talento 2025. ManpowerGroup. https://www.manpowergroup.com.mx</w:t>
      </w:r>
    </w:p>
    <w:p>
      <w:pPr>
        <w:spacing w:after="120" w:line="360"/>
        <w:ind w:left="720" w:hanging="720"/>
      </w:pPr>
      <w:r>
        <w:rPr>
          <w:rFonts w:ascii="Times New Roman" w:cs="Times New Roman" w:eastAsia="Times New Roman" w:hAnsi="Times New Roman"/>
          <w:sz w:val="24"/>
          <w:szCs w:val="24"/>
        </w:rPr>
        <w:t xml:space="preserve">McKinsey &amp; Company. (2018). The business value of design. McKinsey Quarterly. https://www.mckinsey.com/capabilities/mckinsey-design/our-insights/the-business-value-of-design</w:t>
      </w:r>
    </w:p>
    <w:p>
      <w:pPr>
        <w:spacing w:after="120" w:line="360"/>
        <w:ind w:left="720" w:hanging="720"/>
      </w:pPr>
      <w:r>
        <w:rPr>
          <w:rFonts w:ascii="Times New Roman" w:cs="Times New Roman" w:eastAsia="Times New Roman" w:hAnsi="Times New Roman"/>
          <w:sz w:val="24"/>
          <w:szCs w:val="24"/>
        </w:rPr>
        <w:t xml:space="preserve">Secretaría de Economía. (2025). Diseñadores gráficos: Perfil ocupacional. Data México. https://www.economia.gob.mx/datamexico/es/profile/occupation/disenadores-graficos</w:t>
      </w:r>
    </w:p>
    <w:p>
      <w:pPr>
        <w:spacing w:after="120" w:line="360"/>
        <w:ind w:left="720" w:hanging="720"/>
      </w:pPr>
      <w:r>
        <w:rPr>
          <w:rFonts w:ascii="Times New Roman" w:cs="Times New Roman" w:eastAsia="Times New Roman" w:hAnsi="Times New Roman"/>
          <w:sz w:val="24"/>
          <w:szCs w:val="24"/>
        </w:rPr>
        <w:t xml:space="preserve">Universidad Anáhuac. (2025). Licenciatura en Diseño Estratégico, Innovación y Cambio. https://www.anahuac.mx/licenciatura-de-diseno-estrategico-innovacion-y-cambio</w:t>
      </w:r>
    </w:p>
    <w:p>
      <w:pPr>
        <w:spacing w:after="120" w:line="360"/>
        <w:ind w:left="720" w:hanging="720"/>
      </w:pPr>
      <w:r>
        <w:rPr>
          <w:rFonts w:ascii="Times New Roman" w:cs="Times New Roman" w:eastAsia="Times New Roman" w:hAnsi="Times New Roman"/>
          <w:sz w:val="24"/>
          <w:szCs w:val="24"/>
        </w:rPr>
        <w:t xml:space="preserve">Universidad Europea. (2025). Grado en Gestión de Diseño (Bachelor in Design Management). Creative Campus. https://creativecampus.universidadeuropea.com/grado-gestion-diseno-madrid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88888"/>
        <w:sz w:val="18"/>
        <w:szCs w:val="18"/>
      </w:rPr>
      <w:t xml:space="preserve">JUSTIFICACIÓN CURRICULAR LDGD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2026-03-10T18:04:33.576Z</dcterms:created>
  <dcterms:modified xsi:type="dcterms:W3CDTF">2026-03-10T18:04:33.581Z</dcterms:modified>
</cp:coreProperties>
</file>

<file path=docProps/custom.xml><?xml version="1.0" encoding="utf-8"?>
<Properties xmlns="http://schemas.openxmlformats.org/officeDocument/2006/custom-properties" xmlns:vt="http://schemas.openxmlformats.org/officeDocument/2006/docPropsVTypes"/>
</file>