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 flujo de </w:t>
      </w:r>
      <w:r w:rsidDel="00000000" w:rsidR="00000000" w:rsidRPr="00000000">
        <w:rPr>
          <w:b w:val="1"/>
          <w:bCs w:val="1"/>
          <w:rtl w:val="0"/>
        </w:rPr>
        <w:t xml:space="preserve">ARIA</w:t>
      </w:r>
      <w:r w:rsidDel="00000000" w:rsidR="00000000" w:rsidRPr="00000000">
        <w:rPr>
          <w:rtl w:val="0"/>
        </w:rPr>
        <w:t xml:space="preserve"> dentro del ciclo de vida de desarrollo de producto (PLDC) está diseñado como una cadena de suministro de información técnica y estratégica que transforma la demanda inicial en activos operativos y documentales, orquestados centralizadamente.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kswv87x7x79h" w:id="0"/>
      <w:bookmarkEnd w:id="0"/>
      <w:r w:rsidDel="00000000" w:rsidR="00000000" w:rsidRPr="00000000">
        <w:rPr>
          <w:rtl w:val="0"/>
        </w:rPr>
        <w:t xml:space="preserve">Arquitectura de Solución: El Flujo de ARIA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arquitectura se estructura en un pipeline que atraviesa tres "gates" principales, utilizando a </w:t>
      </w:r>
      <w:r w:rsidDel="00000000" w:rsidR="00000000" w:rsidRPr="00000000">
        <w:rPr>
          <w:b w:val="1"/>
          <w:bCs w:val="1"/>
          <w:rtl w:val="0"/>
        </w:rPr>
        <w:t xml:space="preserve">DataBridge</w:t>
      </w:r>
      <w:r w:rsidDel="00000000" w:rsidR="00000000" w:rsidRPr="00000000">
        <w:rPr>
          <w:rtl w:val="0"/>
        </w:rPr>
        <w:t xml:space="preserve"> como el núcleo de conocimiento y a </w:t>
      </w:r>
      <w:r w:rsidDel="00000000" w:rsidR="00000000" w:rsidRPr="00000000">
        <w:rPr>
          <w:b w:val="1"/>
          <w:bCs w:val="1"/>
          <w:rtl w:val="0"/>
        </w:rPr>
        <w:t xml:space="preserve">KAIA</w:t>
      </w:r>
      <w:r w:rsidDel="00000000" w:rsidR="00000000" w:rsidRPr="00000000">
        <w:rPr>
          <w:rtl w:val="0"/>
        </w:rPr>
        <w:t xml:space="preserve"> como el motor de ejecución 1-3.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de la Demanda y Gate de Requerimiento: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proceso inicia capturando la demanda para generar artefactos de </w:t>
      </w:r>
      <w:r w:rsidDel="00000000" w:rsidR="00000000" w:rsidRPr="00000000">
        <w:rPr>
          <w:b w:val="1"/>
          <w:bCs w:val="1"/>
          <w:rtl w:val="0"/>
        </w:rPr>
        <w:t xml:space="preserve">análisis de mercado, regulaciones y tendencias</w:t>
      </w:r>
      <w:r w:rsidDel="00000000" w:rsidR="00000000" w:rsidRPr="00000000">
        <w:rPr>
          <w:rtl w:val="0"/>
        </w:rPr>
        <w:t xml:space="preserve"> 2. Esta información inicial constituye la base del conocimiento que ARIA procesa mediante plantillas estandarizadas 4.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Definición Técnica y Alimentación del KPC (Product Catalog):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rtl w:val="0"/>
        </w:rPr>
        <w:t xml:space="preserve">Gate de Roadmap</w:t>
      </w:r>
      <w:r w:rsidDel="00000000" w:rsidR="00000000" w:rsidRPr="00000000">
        <w:rPr>
          <w:rtl w:val="0"/>
        </w:rPr>
        <w:t xml:space="preserve">, ARIA genera la definición técnica de </w:t>
      </w:r>
      <w:r w:rsidDel="00000000" w:rsidR="00000000" w:rsidRPr="00000000">
        <w:rPr>
          <w:b w:val="1"/>
          <w:bCs w:val="1"/>
          <w:rtl w:val="0"/>
        </w:rPr>
        <w:t xml:space="preserve">capacidades (capabilities), APIs y flujos</w:t>
      </w:r>
      <w:r w:rsidDel="00000000" w:rsidR="00000000" w:rsidRPr="00000000">
        <w:rPr>
          <w:rtl w:val="0"/>
        </w:rPr>
        <w:t xml:space="preserve">, además de la visión estratégica y el pricing 2.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Estos datos alimentan el </w:t>
      </w:r>
      <w:r w:rsidDel="00000000" w:rsidR="00000000" w:rsidRPr="00000000">
        <w:rPr>
          <w:b w:val="1"/>
          <w:bCs w:val="1"/>
          <w:rtl w:val="0"/>
        </w:rPr>
        <w:t xml:space="preserve">KPC (Kashio Product Catalog)</w:t>
      </w:r>
      <w:r w:rsidDel="00000000" w:rsidR="00000000" w:rsidRPr="00000000">
        <w:rPr>
          <w:rtl w:val="0"/>
        </w:rPr>
        <w:t xml:space="preserve"> al definir las funcionalidades activas que el producto ofrecerá 5.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Generación de Artefactos de Ejecución (JIRA, Confluence, SharePoint):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JIRA:</w:t>
      </w:r>
      <w:r w:rsidDel="00000000" w:rsidR="00000000" w:rsidRPr="00000000">
        <w:rPr>
          <w:rtl w:val="0"/>
        </w:rPr>
        <w:t xml:space="preserve"> ARIA utiliza plantillas y prompts específicos para transformar las definiciones técnicas en artefactos como </w:t>
      </w:r>
      <w:r w:rsidDel="00000000" w:rsidR="00000000" w:rsidRPr="00000000">
        <w:rPr>
          <w:b w:val="1"/>
          <w:bCs w:val="1"/>
          <w:rtl w:val="0"/>
        </w:rPr>
        <w:t xml:space="preserve">fichas funcionales y de arquitectura</w:t>
      </w:r>
      <w:r w:rsidDel="00000000" w:rsidR="00000000" w:rsidRPr="00000000">
        <w:rPr>
          <w:rtl w:val="0"/>
        </w:rPr>
        <w:t xml:space="preserve"> 4, 5. (Nota: Aunque los términos "épicas" e "historias de usuario" son estándar en JIRA, las fuentes se refieren a estos como "fichas funcionales" y "definición técnica de capacidades" 2, 5).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Confluence y SharePoint:</w:t>
      </w:r>
      <w:r w:rsidDel="00000000" w:rsidR="00000000" w:rsidRPr="00000000">
        <w:rPr>
          <w:rtl w:val="0"/>
        </w:rPr>
        <w:t xml:space="preserve"> La documentación estratégica, playbooks de ventas y manuales técnicos se alojan en el SharePoint corporativo para asegurar una </w:t>
      </w:r>
      <w:r w:rsidDel="00000000" w:rsidR="00000000" w:rsidRPr="00000000">
        <w:rPr>
          <w:b w:val="1"/>
          <w:bCs w:val="1"/>
          <w:rtl w:val="0"/>
        </w:rPr>
        <w:t xml:space="preserve">"única fuente de verdad"</w:t>
      </w:r>
      <w:r w:rsidDel="00000000" w:rsidR="00000000" w:rsidRPr="00000000">
        <w:rPr>
          <w:rtl w:val="0"/>
        </w:rPr>
        <w:t xml:space="preserve"> para el equipo interno 5.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Read.me:</w:t>
      </w:r>
      <w:r w:rsidDel="00000000" w:rsidR="00000000" w:rsidRPr="00000000">
        <w:rPr>
          <w:rtl w:val="0"/>
        </w:rPr>
        <w:t xml:space="preserve"> Para el consumo externo, ARIA automatiza la creación de manuales de producto y "One Pagers" en Read.me, facilitando la integración de los clientes empresas 5.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de Versiones e Integración en DataBridge: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Toda la producción de ARIA se centraliza en un </w:t>
      </w:r>
      <w:r w:rsidDel="00000000" w:rsidR="00000000" w:rsidRPr="00000000">
        <w:rPr>
          <w:b w:val="1"/>
          <w:bCs w:val="1"/>
          <w:rtl w:val="0"/>
        </w:rPr>
        <w:t xml:space="preserve">índice de versiones</w:t>
      </w:r>
      <w:r w:rsidDel="00000000" w:rsidR="00000000" w:rsidRPr="00000000">
        <w:rPr>
          <w:rtl w:val="0"/>
        </w:rPr>
        <w:t xml:space="preserve"> que gestiona las capacidades activas 5. Este índice reside en el </w:t>
      </w:r>
      <w:r w:rsidDel="00000000" w:rsidR="00000000" w:rsidRPr="00000000">
        <w:rPr>
          <w:b w:val="1"/>
          <w:bCs w:val="1"/>
          <w:rtl w:val="0"/>
        </w:rPr>
        <w:t xml:space="preserve">DataBridge</w:t>
      </w:r>
      <w:r w:rsidDel="00000000" w:rsidR="00000000" w:rsidRPr="00000000">
        <w:rPr>
          <w:rtl w:val="0"/>
        </w:rPr>
        <w:t xml:space="preserve">, que funciona como el hub o base de conocimiento vectorial 3.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Notificación y Orquestación por KAIA: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vez que el contenido es generado y versionado, </w:t>
      </w:r>
      <w:r w:rsidDel="00000000" w:rsidR="00000000" w:rsidRPr="00000000">
        <w:rPr>
          <w:b w:val="1"/>
          <w:bCs w:val="1"/>
          <w:rtl w:val="0"/>
        </w:rPr>
        <w:t xml:space="preserve">KAIA es notificada</w:t>
      </w:r>
      <w:r w:rsidDel="00000000" w:rsidR="00000000" w:rsidRPr="00000000">
        <w:rPr>
          <w:rtl w:val="0"/>
        </w:rPr>
        <w:t xml:space="preserve"> y extrae el contexto necesario del DataBridge 3.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Usando </w:t>
      </w:r>
      <w:r w:rsidDel="00000000" w:rsidR="00000000" w:rsidRPr="00000000">
        <w:rPr>
          <w:b w:val="1"/>
          <w:bCs w:val="1"/>
          <w:rtl w:val="0"/>
        </w:rPr>
        <w:t xml:space="preserve">AI Agentic Orchestration</w:t>
      </w:r>
      <w:r w:rsidDel="00000000" w:rsidR="00000000" w:rsidRPr="00000000">
        <w:rPr>
          <w:rtl w:val="0"/>
        </w:rPr>
        <w:t xml:space="preserve"> (y herramientas como N8N), KAIA coordina la distribución dinámica del contenido según el dominio del producto afectado 3.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b81yl5buzm7s" w:id="1"/>
      <w:bookmarkEnd w:id="1"/>
      <w:r w:rsidDel="00000000" w:rsidR="00000000" w:rsidRPr="00000000">
        <w:rPr>
          <w:rtl w:val="0"/>
        </w:rPr>
        <w:t xml:space="preserve">Value Stream Map (VSM) End-to-End (E2E)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 mapa de flujo de valor desde la demanda hasta la disponibilidad operativa se desglosa así: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Entrada (Demand):</w:t>
      </w:r>
      <w:r w:rsidDel="00000000" w:rsidR="00000000" w:rsidRPr="00000000">
        <w:rPr>
          <w:rtl w:val="0"/>
        </w:rPr>
        <w:t xml:space="preserve"> Captura de requerimientos y tendencias de mercado 2.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Procesamiento (ARIA):</w:t>
      </w:r>
      <w:r w:rsidDel="00000000" w:rsidR="00000000" w:rsidRPr="00000000">
        <w:rPr>
          <w:rtl w:val="0"/>
        </w:rPr>
        <w:t xml:space="preserve"> Aplicación de </w:t>
      </w:r>
      <w:r w:rsidDel="00000000" w:rsidR="00000000" w:rsidRPr="00000000">
        <w:rPr>
          <w:b w:val="1"/>
          <w:bCs w:val="1"/>
          <w:rtl w:val="0"/>
        </w:rPr>
        <w:t xml:space="preserve">Prompts y Templates</w:t>
      </w:r>
      <w:r w:rsidDel="00000000" w:rsidR="00000000" w:rsidRPr="00000000">
        <w:rPr>
          <w:rtl w:val="0"/>
        </w:rPr>
        <w:t xml:space="preserve"> (estándar de oro) para transformar ideas en documentos técnicos y comerciales 4.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Validación (Gates):</w:t>
      </w:r>
      <w:r w:rsidDel="00000000" w:rsidR="00000000" w:rsidRPr="00000000">
        <w:rPr>
          <w:rtl w:val="0"/>
        </w:rPr>
        <w:t xml:space="preserve"> Paso por los controles de Requerimiento, Roadmap y Release para asegurar la calidad 2.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Almacenamiento (DataBridge):</w:t>
      </w:r>
      <w:r w:rsidDel="00000000" w:rsidR="00000000" w:rsidRPr="00000000">
        <w:rPr>
          <w:rtl w:val="0"/>
        </w:rPr>
        <w:t xml:space="preserve"> Registro de la "verdad técnica" y control de versiones de las </w:t>
      </w:r>
      <w:r w:rsidDel="00000000" w:rsidR="00000000" w:rsidRPr="00000000">
        <w:rPr>
          <w:i w:val="1"/>
          <w:iCs w:val="1"/>
          <w:rtl w:val="0"/>
        </w:rPr>
        <w:t xml:space="preserve">capabilities</w:t>
      </w:r>
      <w:r w:rsidDel="00000000" w:rsidR="00000000" w:rsidRPr="00000000">
        <w:rPr>
          <w:rtl w:val="0"/>
        </w:rPr>
        <w:t xml:space="preserve"> 3, 5.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Distribución (Multi-channel):</w:t>
      </w:r>
      <w:r w:rsidDel="00000000" w:rsidR="00000000" w:rsidRPr="00000000">
        <w:rPr>
          <w:rtl w:val="0"/>
        </w:rPr>
        <w:t xml:space="preserve"> Publicación simultánea en SharePoint/Confluence (interno), JIRA (ejecución) y Read.me (cliente) 5.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Activación (KAIA):</w:t>
      </w:r>
      <w:r w:rsidDel="00000000" w:rsidR="00000000" w:rsidRPr="00000000">
        <w:rPr>
          <w:rtl w:val="0"/>
        </w:rPr>
        <w:t xml:space="preserve"> Orquestación agentica para aplicar el conocimiento en la optimización de operaciones y servicios en tiempo real 3, 6.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Medición:</w:t>
      </w:r>
      <w:r w:rsidDel="00000000" w:rsidR="00000000" w:rsidRPr="00000000">
        <w:rPr>
          <w:rtl w:val="0"/>
        </w:rPr>
        <w:t xml:space="preserve"> Todo este flujo es monitoreado por </w:t>
      </w:r>
      <w:r w:rsidDel="00000000" w:rsidR="00000000" w:rsidRPr="00000000">
        <w:rPr>
          <w:b w:val="1"/>
          <w:bCs w:val="1"/>
          <w:rtl w:val="0"/>
        </w:rPr>
        <w:t xml:space="preserve">Product Ops Core</w:t>
      </w:r>
      <w:r w:rsidDel="00000000" w:rsidR="00000000" w:rsidRPr="00000000">
        <w:rPr>
          <w:rtl w:val="0"/>
        </w:rPr>
        <w:t xml:space="preserve"> mediante KPIs que evalúan la eficiencia en la generación y el impacto en la operatividad 3.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Analogía:</w:t>
      </w:r>
      <w:r w:rsidDel="00000000" w:rsidR="00000000" w:rsidRPr="00000000">
        <w:rPr>
          <w:rtl w:val="0"/>
        </w:rPr>
        <w:t xml:space="preserve"> Si el desarrollo de un producto fuera la construcción de un edificio, </w:t>
      </w:r>
      <w:r w:rsidDel="00000000" w:rsidR="00000000" w:rsidRPr="00000000">
        <w:rPr>
          <w:b w:val="1"/>
          <w:bCs w:val="1"/>
          <w:rtl w:val="0"/>
        </w:rPr>
        <w:t xml:space="preserve">ARIA</w:t>
      </w:r>
      <w:r w:rsidDel="00000000" w:rsidR="00000000" w:rsidRPr="00000000">
        <w:rPr>
          <w:rtl w:val="0"/>
        </w:rPr>
        <w:t xml:space="preserve"> es la oficina técnica que redacta los planos (templates), gestiona los permisos (gates) y actualiza los manuales de mantenimiento en la biblioteca central (DataBridge), mientras que </w:t>
      </w:r>
      <w:r w:rsidDel="00000000" w:rsidR="00000000" w:rsidRPr="00000000">
        <w:rPr>
          <w:b w:val="1"/>
          <w:bCs w:val="1"/>
          <w:rtl w:val="0"/>
        </w:rPr>
        <w:t xml:space="preserve">KAIA</w:t>
      </w:r>
      <w:r w:rsidDel="00000000" w:rsidR="00000000" w:rsidRPr="00000000">
        <w:rPr>
          <w:rtl w:val="0"/>
        </w:rPr>
        <w:t xml:space="preserve"> es el supervisor de obra que lee esos planos en tiempo real para dirigir a las máquinas y operarios.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