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6263A"/>
          <w:sz w:val="30"/>
          <w:szCs w:val="30"/>
        </w:rPr>
        <w:t xml:space="preserve">ILUSTRE MUNICIPALIDAD DE [COMUNA]</w:t>
      </w:r>
    </w:p>
    <w:p>
      <w:pPr>
        <w:spacing w:after="80"/>
        <w:jc w:val="center"/>
      </w:pPr>
      <w:r>
        <w:rPr>
          <w:b/>
          <w:bCs/>
          <w:sz w:val="24"/>
          <w:szCs w:val="24"/>
        </w:rPr>
        <w:t xml:space="preserve">ORDENANZA LOCAL SOBRE INSTALACIÓN, IDENTIFICACIÓN, MANTENCIÓN, ORDENACIÓN Y RETIRO DE LÍNEAS AÉREAS, SUBTERRÁNEAS Y ELEMENTOS DE TELECOMUNICACIONES EN DESUSO</w:t>
      </w:r>
    </w:p>
    <w:p>
      <w:pPr>
        <w:spacing w:after="240"/>
        <w:jc w:val="center"/>
      </w:pPr>
      <w:r>
        <w:rPr>
          <w:i/>
          <w:iCs/>
          <w:color w:val="9BB0C5"/>
          <w:sz w:val="20"/>
          <w:szCs w:val="20"/>
        </w:rPr>
        <w:t xml:space="preserve">Decreto Alcaldicio N° [NÚMERO] de [FECHA] · Ordenanza tipo basada en el Decreto Alcaldicio N° 1.583/2025 de La Reina</w:t>
      </w:r>
    </w:p>
    <w:p>
      <w:pPr>
        <w:spacing w:after="160" w:line="300"/>
        <w:jc w:val="both"/>
      </w:pPr>
      <w:r>
        <w:rPr>
          <w:sz w:val="22"/>
          <w:szCs w:val="22"/>
        </w:rPr>
        <w:t xml:space="preserve">VISTOS: Lo dispuesto en los artículos 5°, 12, 63 y 65 de la Ley N° 18.695, Orgánica Constitucional de Municipalidades; la Ley N° 18.168, General de Telecomunicaciones, modificada por la Ley N° 21.172; el Decreto Supremo N° 176, de 2025, del Ministerio de Transportes y Telecomunicaciones, que aprueba el Plan de Instalación, Identificación, Modificación, Mantenimiento, Ordenación, Traslado y Retiro de Líneas Aéreas y Subterráneas; la Resolución Exenta N° 1.642, de 2025, de SUBTEL, sobre identificación mediante marca de color; el Oficio Circular N° 863, de 2025, de SUBTEL, sobre mecanismos de comunicación electrónica; el Oficio Circular N° 35, de 2026, de SUBTEL; la Resolución Exenta N° 930, de 2026, de SUBTEL, que aprueba los planes anuales de retiro y ordenación; y la Ley N° 18.287, que establece el procedimiento ante los Juzgados de Policía Local.</w:t>
      </w:r>
    </w:p>
    <w:p>
      <w:pPr>
        <w:spacing w:after="160" w:line="300"/>
        <w:jc w:val="both"/>
      </w:pPr>
      <w:r>
        <w:rPr>
          <w:sz w:val="22"/>
          <w:szCs w:val="22"/>
        </w:rPr>
        <w:t xml:space="preserve">CONSIDERANDO: La necesidad de resguardar la seguridad de las personas, los bienes, la vialidad y el patrimonio comunal frente a la acumulación de cables y elementos de telecomunicaciones en desuso en los bienes nacionales de uso público, y que la responsabilidad de su retiro corresponde exclusiva e indelegablemente a las concesionarias y permisionarias de servicios de telecomunicaciones, se dicta la siguiente:</w:t>
      </w:r>
    </w:p>
    <w:p>
      <w:pPr>
        <w:spacing w:after="240" w:before="120"/>
        <w:jc w:val="center"/>
      </w:pPr>
      <w:r>
        <w:rPr>
          <w:b/>
          <w:bCs/>
          <w:color w:val="C49A39"/>
          <w:sz w:val="28"/>
          <w:szCs w:val="28"/>
        </w:rPr>
        <w:t xml:space="preserve">O R D E N A N Z A</w:t>
      </w:r>
    </w:p>
    <w:p>
      <w:pPr>
        <w:pStyle w:val="Heading1"/>
        <w:spacing w:after="200" w:before="320"/>
      </w:pPr>
      <w:r>
        <w:t xml:space="preserve">TÍTULO I · DISPOSICIONES GENERALES</w:t>
      </w:r>
    </w:p>
    <w:p>
      <w:pPr>
        <w:spacing w:after="80" w:before="200"/>
      </w:pPr>
      <w:r>
        <w:rPr>
          <w:b/>
          <w:bCs/>
          <w:color w:val="16263A"/>
          <w:sz w:val="22"/>
          <w:szCs w:val="22"/>
        </w:rPr>
        <w:t xml:space="preserve">Artículo 1°. Objeto.</w:t>
      </w:r>
    </w:p>
    <w:p>
      <w:pPr>
        <w:spacing w:after="160" w:line="300"/>
        <w:jc w:val="both"/>
      </w:pPr>
      <w:r>
        <w:rPr>
          <w:sz w:val="22"/>
          <w:szCs w:val="22"/>
        </w:rPr>
        <w:t xml:space="preserve">La presente Ordenanza regula, en el territorio de la comuna de [COMUNA], las condiciones de instalación, identificación, mantención, ordenación y retiro del tendido de líneas aéreas y subterráneas de telecomunicaciones y de todo otro elemento perteneciente a la red, y establece el procedimiento de fiscalización municipal y el régimen sancionatorio aplicable a los elementos calificados en desuso, en conformidad al marco sectorial vigente.</w:t>
      </w:r>
    </w:p>
    <w:p>
      <w:pPr>
        <w:spacing w:after="80" w:before="200"/>
      </w:pPr>
      <w:r>
        <w:rPr>
          <w:b/>
          <w:bCs/>
          <w:color w:val="16263A"/>
          <w:sz w:val="22"/>
          <w:szCs w:val="22"/>
        </w:rPr>
        <w:t xml:space="preserve">Artículo 2°. Ámbito de aplicación.</w:t>
      </w:r>
    </w:p>
    <w:p>
      <w:pPr>
        <w:spacing w:after="160" w:line="300"/>
        <w:jc w:val="both"/>
      </w:pPr>
      <w:r>
        <w:rPr>
          <w:sz w:val="22"/>
          <w:szCs w:val="22"/>
        </w:rPr>
        <w:t xml:space="preserve">Quedan sujetas a esta Ordenanza todas las concesionarias y permisionarias de servicios de telecomunicaciones que mantengan, en bienes nacionales de uso público administrados por la Municipalidad, líneas, cables, ductos, poliductos, microductos, crucetas, anclajes, tirantes, cajas de control, acometidas, gabinetes, armarios, mufas, cámaras y todo otro elemento perteneciente a la red.</w:t>
      </w:r>
    </w:p>
    <w:p>
      <w:pPr>
        <w:spacing w:after="80" w:before="200"/>
      </w:pPr>
      <w:r>
        <w:rPr>
          <w:b/>
          <w:bCs/>
          <w:color w:val="16263A"/>
          <w:sz w:val="22"/>
          <w:szCs w:val="22"/>
        </w:rPr>
        <w:t xml:space="preserve">Artículo 3°. Definiciones.</w:t>
      </w:r>
    </w:p>
    <w:p>
      <w:pPr>
        <w:spacing w:after="160" w:line="300"/>
        <w:jc w:val="both"/>
      </w:pPr>
      <w:r>
        <w:rPr>
          <w:sz w:val="22"/>
          <w:szCs w:val="22"/>
        </w:rPr>
        <w:t xml:space="preserve">Para los efectos de esta Ordenanza se entenderá por:</w:t>
      </w:r>
    </w:p>
    <w:p>
      <w:pPr>
        <w:pStyle w:val="ListParagraph"/>
        <w:numPr>
          <w:ilvl w:val="0"/>
          <w:numId w:val="2"/>
        </w:numPr>
        <w:spacing w:after="80"/>
        <w:jc w:val="both"/>
      </w:pPr>
      <w:r>
        <w:rPr>
          <w:sz w:val="22"/>
          <w:szCs w:val="22"/>
        </w:rPr>
        <w:t xml:space="preserve">Elemento en desuso: aquel que ha dejado de ser utilizado para los fines del o de los servicios autorizados, conforme a los artículos 20°, 21° y 22° del D.S. N° 176/2025, y que en virtud de dicha calificación adquiere la condición jurídica de desecho.</w:t>
      </w:r>
    </w:p>
    <w:p>
      <w:pPr>
        <w:pStyle w:val="ListParagraph"/>
        <w:numPr>
          <w:ilvl w:val="0"/>
          <w:numId w:val="2"/>
        </w:numPr>
        <w:spacing w:after="80"/>
        <w:jc w:val="both"/>
      </w:pPr>
      <w:r>
        <w:rPr>
          <w:sz w:val="22"/>
          <w:szCs w:val="22"/>
        </w:rPr>
        <w:t xml:space="preserve">Marca de color: identificación obligatoria de los elementos de red mediante código alfanumérico, conforme a la Res. Ex. N° 1.642/2025 de SUBTEL y al procedimiento del Oficio Circular N° 35/2026.</w:t>
      </w:r>
    </w:p>
    <w:p>
      <w:pPr>
        <w:pStyle w:val="ListParagraph"/>
        <w:numPr>
          <w:ilvl w:val="0"/>
          <w:numId w:val="2"/>
        </w:numPr>
        <w:spacing w:after="80"/>
        <w:jc w:val="both"/>
      </w:pPr>
      <w:r>
        <w:rPr>
          <w:sz w:val="22"/>
          <w:szCs w:val="22"/>
        </w:rPr>
        <w:t xml:space="preserve">Ficha de fiscalización: registro georreferenciado (datum WGS84, cinco decimales) levantado por inspector municipal, con evidencia fotográfica dotada de marca de agua inalterable (fecha, hora, funcionario y coordenadas) y verificación criptográfica de integridad (hash SHA-256).</w:t>
      </w:r>
    </w:p>
    <w:p>
      <w:pPr>
        <w:pStyle w:val="ListParagraph"/>
        <w:numPr>
          <w:ilvl w:val="0"/>
          <w:numId w:val="2"/>
        </w:numPr>
        <w:spacing w:after="80"/>
        <w:jc w:val="both"/>
      </w:pPr>
      <w:r>
        <w:rPr>
          <w:sz w:val="22"/>
          <w:szCs w:val="22"/>
        </w:rPr>
        <w:t xml:space="preserve">Situación de emergencia: aquella que afecta o amenaza la seguridad de las personas, de los bienes, de la vialidad o del patrimonio, según el Título III, Capítulo II, del D.S. N° 176/2025.</w:t>
      </w:r>
    </w:p>
    <w:p>
      <w:pPr>
        <w:pStyle w:val="Heading1"/>
        <w:spacing w:after="200" w:before="320"/>
      </w:pPr>
      <w:r>
        <w:t xml:space="preserve">TÍTULO II · OBLIGACIONES DE LOS OPERADORES</w:t>
      </w:r>
    </w:p>
    <w:p>
      <w:pPr>
        <w:spacing w:after="80" w:before="200"/>
      </w:pPr>
      <w:r>
        <w:rPr>
          <w:b/>
          <w:bCs/>
          <w:color w:val="16263A"/>
          <w:sz w:val="22"/>
          <w:szCs w:val="22"/>
        </w:rPr>
        <w:t xml:space="preserve">Artículo 4°. Responsabilidad exclusiva.</w:t>
      </w:r>
    </w:p>
    <w:p>
      <w:pPr>
        <w:spacing w:after="160" w:line="300"/>
        <w:jc w:val="both"/>
      </w:pPr>
      <w:r>
        <w:rPr>
          <w:sz w:val="22"/>
          <w:szCs w:val="22"/>
        </w:rPr>
        <w:t xml:space="preserve">Las concesionarias y permisionarias son exclusiva e indelegablemente responsables de la adecuada instalación, identificación, modificación, mantención, ordenación, traslado y retiro de sus líneas y elementos de red, conforme al artículo 18 de la Ley N° 18.168, incorporado por la Ley N° 21.172.</w:t>
      </w:r>
    </w:p>
    <w:p>
      <w:pPr>
        <w:spacing w:after="80" w:before="200"/>
      </w:pPr>
      <w:r>
        <w:rPr>
          <w:b/>
          <w:bCs/>
          <w:color w:val="16263A"/>
          <w:sz w:val="22"/>
          <w:szCs w:val="22"/>
        </w:rPr>
        <w:t xml:space="preserve">Artículo 5°. Identificación obligatoria.</w:t>
      </w:r>
    </w:p>
    <w:p>
      <w:pPr>
        <w:spacing w:after="160" w:line="300"/>
        <w:jc w:val="both"/>
      </w:pPr>
      <w:r>
        <w:rPr>
          <w:sz w:val="22"/>
          <w:szCs w:val="22"/>
        </w:rPr>
        <w:t xml:space="preserve">Todo elemento de red deberá portar la marca de color con su código alfanumérico registrado ante SUBTEL. La ausencia, ilegibilidad o falta de registro de la marca constituye infracción autónoma, sin perjuicio de la responsabilidad que corresponda al titular del elemento cuando éste pueda determinarse por otros medios. Verificada la falta de identificación y transcurrido el plazo legal sin que operador alguno reclame la titularidad, la Municipalidad podrá proceder al retiro del elemento no identificado, conforme al D.S. N° 176/2025.</w:t>
      </w:r>
    </w:p>
    <w:p>
      <w:pPr>
        <w:spacing w:after="80" w:before="200"/>
      </w:pPr>
      <w:r>
        <w:rPr>
          <w:b/>
          <w:bCs/>
          <w:color w:val="16263A"/>
          <w:sz w:val="22"/>
          <w:szCs w:val="22"/>
        </w:rPr>
        <w:t xml:space="preserve">Artículo 6°. Plazo máximo de retiro.</w:t>
      </w:r>
    </w:p>
    <w:p>
      <w:pPr>
        <w:spacing w:after="160" w:line="300"/>
        <w:jc w:val="both"/>
      </w:pPr>
      <w:r>
        <w:rPr>
          <w:sz w:val="22"/>
          <w:szCs w:val="22"/>
        </w:rPr>
        <w:t xml:space="preserve">El plazo para proceder a la ordenación o retiro de los elementos calificados como desecho no podrá superar los cinco meses (150 días corridos) desde la calificación, salvo las excepciones justificadas que contemple la normativa técnica.</w:t>
      </w:r>
    </w:p>
    <w:p>
      <w:pPr>
        <w:pStyle w:val="Heading1"/>
        <w:spacing w:after="200" w:before="320"/>
      </w:pPr>
      <w:r>
        <w:t xml:space="preserve">TÍTULO III · FISCALIZACIÓN MUNICIPAL</w:t>
      </w:r>
    </w:p>
    <w:p>
      <w:pPr>
        <w:spacing w:after="80" w:before="200"/>
      </w:pPr>
      <w:r>
        <w:rPr>
          <w:b/>
          <w:bCs/>
          <w:color w:val="16263A"/>
          <w:sz w:val="22"/>
          <w:szCs w:val="22"/>
        </w:rPr>
        <w:t xml:space="preserve">Artículo 7°. Facultades de inspección.</w:t>
      </w:r>
    </w:p>
    <w:p>
      <w:pPr>
        <w:spacing w:after="160" w:line="300"/>
        <w:jc w:val="both"/>
      </w:pPr>
      <w:r>
        <w:rPr>
          <w:sz w:val="22"/>
          <w:szCs w:val="22"/>
        </w:rPr>
        <w:t xml:space="preserve">Los inspectores municipales estarán facultados para constatar en terreno el estado de los elementos de red, levantando la ficha de fiscalización mediante el sistema informático municipal. Cada actuación quedará registrada con la identificación del funcionario responsable, garantizando su trazabilidad.</w:t>
      </w:r>
    </w:p>
    <w:p>
      <w:pPr>
        <w:spacing w:after="80" w:before="200"/>
      </w:pPr>
      <w:r>
        <w:rPr>
          <w:b/>
          <w:bCs/>
          <w:color w:val="16263A"/>
          <w:sz w:val="22"/>
          <w:szCs w:val="22"/>
        </w:rPr>
        <w:t xml:space="preserve">Artículo 8°. Calificación técnica.</w:t>
      </w:r>
    </w:p>
    <w:p>
      <w:pPr>
        <w:spacing w:after="160" w:line="300"/>
        <w:jc w:val="both"/>
      </w:pPr>
      <w:r>
        <w:rPr>
          <w:sz w:val="22"/>
          <w:szCs w:val="22"/>
        </w:rPr>
        <w:t xml:space="preserve">La Dirección de Obras Municipales calificará técnicamente el hallazgo. La calificación de desuso exigirá la verificación de al menos una de las siguientes causales del D.S. N° 176/2025:</w:t>
      </w:r>
    </w:p>
    <w:p>
      <w:pPr>
        <w:pStyle w:val="ListParagraph"/>
        <w:numPr>
          <w:ilvl w:val="0"/>
          <w:numId w:val="2"/>
        </w:numPr>
        <w:spacing w:after="80"/>
        <w:jc w:val="both"/>
      </w:pPr>
      <w:r>
        <w:rPr>
          <w:sz w:val="22"/>
          <w:szCs w:val="22"/>
        </w:rPr>
        <w:t xml:space="preserve">Imposibilidad técnica de transmisión del servicio.</w:t>
      </w:r>
    </w:p>
    <w:p>
      <w:pPr>
        <w:pStyle w:val="ListParagraph"/>
        <w:numPr>
          <w:ilvl w:val="0"/>
          <w:numId w:val="2"/>
        </w:numPr>
        <w:spacing w:after="80"/>
        <w:jc w:val="both"/>
      </w:pPr>
      <w:r>
        <w:rPr>
          <w:sz w:val="22"/>
          <w:szCs w:val="22"/>
        </w:rPr>
        <w:t xml:space="preserve">Falta de continuidad física del cable.</w:t>
      </w:r>
    </w:p>
    <w:p>
      <w:pPr>
        <w:pStyle w:val="ListParagraph"/>
        <w:numPr>
          <w:ilvl w:val="0"/>
          <w:numId w:val="2"/>
        </w:numPr>
        <w:spacing w:after="80"/>
        <w:jc w:val="both"/>
      </w:pPr>
      <w:r>
        <w:rPr>
          <w:sz w:val="22"/>
          <w:szCs w:val="22"/>
        </w:rPr>
        <w:t xml:space="preserve">Ausencia de conectorización o de terminales activas.</w:t>
      </w:r>
    </w:p>
    <w:p>
      <w:pPr>
        <w:pStyle w:val="ListParagraph"/>
        <w:numPr>
          <w:ilvl w:val="0"/>
          <w:numId w:val="2"/>
        </w:numPr>
        <w:spacing w:after="80"/>
        <w:jc w:val="both"/>
      </w:pPr>
      <w:r>
        <w:rPr>
          <w:sz w:val="22"/>
          <w:szCs w:val="22"/>
        </w:rPr>
        <w:t xml:space="preserve">Gabinetes o cajas vacías o sin operación.</w:t>
      </w:r>
    </w:p>
    <w:p>
      <w:pPr>
        <w:pStyle w:val="ListParagraph"/>
        <w:numPr>
          <w:ilvl w:val="0"/>
          <w:numId w:val="2"/>
        </w:numPr>
        <w:spacing w:after="80"/>
        <w:jc w:val="both"/>
      </w:pPr>
      <w:r>
        <w:rPr>
          <w:sz w:val="22"/>
          <w:szCs w:val="22"/>
        </w:rPr>
        <w:t xml:space="preserve">Cables cortados o doblados más allá del ángulo crítico de operación.</w:t>
      </w:r>
    </w:p>
    <w:p>
      <w:pPr>
        <w:pStyle w:val="ListParagraph"/>
        <w:numPr>
          <w:ilvl w:val="0"/>
          <w:numId w:val="2"/>
        </w:numPr>
        <w:spacing w:after="80"/>
        <w:jc w:val="both"/>
      </w:pPr>
      <w:r>
        <w:rPr>
          <w:sz w:val="22"/>
          <w:szCs w:val="22"/>
        </w:rPr>
        <w:t xml:space="preserve">Ausencia o ilegibilidad de la marca de color (Res. Ex. N° 1.642/2025).</w:t>
      </w:r>
    </w:p>
    <w:p>
      <w:pPr>
        <w:spacing w:after="80" w:before="200"/>
      </w:pPr>
      <w:r>
        <w:rPr>
          <w:b/>
          <w:bCs/>
          <w:color w:val="16263A"/>
          <w:sz w:val="22"/>
          <w:szCs w:val="22"/>
        </w:rPr>
        <w:t xml:space="preserve">Artículo 9°. Cadena de custodia.</w:t>
      </w:r>
    </w:p>
    <w:p>
      <w:pPr>
        <w:spacing w:after="160" w:line="300"/>
        <w:jc w:val="both"/>
      </w:pPr>
      <w:r>
        <w:rPr>
          <w:sz w:val="22"/>
          <w:szCs w:val="22"/>
        </w:rPr>
        <w:t xml:space="preserve">La evidencia fotográfica se capturará con marca de agua inalterable grabada en la imagen (fecha y hora oficial de Chile, correo institucional del funcionario y coordenadas WGS84 con cinco decimales) y se resguardará mediante huella criptográfica SHA-256 calculada al momento de la captura, apta para ser presentada en sede judicial.</w:t>
      </w:r>
    </w:p>
    <w:p>
      <w:pPr>
        <w:pStyle w:val="Heading1"/>
        <w:spacing w:after="200" w:before="320"/>
      </w:pPr>
      <w:r>
        <w:t xml:space="preserve">TÍTULO IV · PROCEDIMIENTO</w:t>
      </w:r>
    </w:p>
    <w:p>
      <w:pPr>
        <w:spacing w:after="80" w:before="200"/>
      </w:pPr>
      <w:r>
        <w:rPr>
          <w:b/>
          <w:bCs/>
          <w:color w:val="16263A"/>
          <w:sz w:val="22"/>
          <w:szCs w:val="22"/>
        </w:rPr>
        <w:t xml:space="preserve">Artículo 10°. Notificación al operador.</w:t>
      </w:r>
    </w:p>
    <w:p>
      <w:pPr>
        <w:spacing w:after="160" w:line="300"/>
        <w:jc w:val="both"/>
      </w:pPr>
      <w:r>
        <w:rPr>
          <w:sz w:val="22"/>
          <w:szCs w:val="22"/>
        </w:rPr>
        <w:t xml:space="preserve">Constatada y calificada la infracción, la Municipalidad notificará al operador mediante el correo electrónico o mecanismo electrónico habilitado conforme al Oficio Circular N° 863/2025, con trazabilidad íntegra de las comunicaciones. La notificación indicará: identificación y coordenadas del elemento, evidencia fotográfica, causales constatadas, plazos aplicables y advertencia de ejecución subsidiaria y sanciones. La notificación electrónica producirá los mismos efectos que la practicada en forma personal.</w:t>
      </w:r>
    </w:p>
    <w:p>
      <w:pPr>
        <w:spacing w:after="80" w:before="200"/>
      </w:pPr>
      <w:r>
        <w:rPr>
          <w:b/>
          <w:bCs/>
          <w:color w:val="16263A"/>
          <w:sz w:val="22"/>
          <w:szCs w:val="22"/>
        </w:rPr>
        <w:t xml:space="preserve">Artículo 11°. Plazos.</w:t>
      </w:r>
    </w:p>
    <w:p>
      <w:pPr>
        <w:spacing w:after="160" w:line="300"/>
        <w:jc w:val="both"/>
      </w:pPr>
      <w:r>
        <w:rPr>
          <w:sz w:val="22"/>
          <w:szCs w:val="22"/>
        </w:rPr>
        <w:t xml:space="preserve">Los plazos del procedimiento serán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900"/>
        <w:gridCol w:w="2560"/>
      </w:tblGrid>
      <w:tr>
        <w:trPr>
          <w:tblHeader/>
        </w:trPr>
        <w:tc>
          <w:tcPr>
            <w:tcW w:type="dxa" w:w="390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Actuación</w:t>
            </w:r>
          </w:p>
        </w:tc>
        <w:tc>
          <w:tcPr>
            <w:tcW w:type="dxa" w:w="290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Plazo</w:t>
            </w:r>
          </w:p>
        </w:tc>
        <w:tc>
          <w:tcPr>
            <w:tcW w:type="dxa" w:w="256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Fuente normativa</w:t>
            </w:r>
          </w:p>
        </w:tc>
      </w:tr>
      <w:tr>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Respuesta del operador al requerimiento</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10 días hábiles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D.S. N° 176/2025 · Of. Circ. N° 863/2025</w:t>
            </w:r>
          </w:p>
        </w:tc>
      </w:tr>
      <w:tr>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Retiro u ordenación ordinaria</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 días corridos, prorrogables por 15 días por causa fundada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D.S. N° 176/2025</w:t>
            </w:r>
          </w:p>
        </w:tc>
      </w:tr>
      <w:tr>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Plazo total máximo de remoción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150 días corridos (5 meses) desde la calificación</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Ley N° 21.172 · D.S. N° 176/2025</w:t>
            </w:r>
          </w:p>
        </w:tc>
      </w:tr>
      <w:tr>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Emergencia con afectación de personas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Atención inmediata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D.S. N° 176/2025, Título III, Cap. II</w:t>
            </w:r>
          </w:p>
        </w:tc>
      </w:tr>
      <w:tr>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Emergencia con afectación de bienes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 minutos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D.S. N° 176/2025, Título III, Cap. II</w:t>
            </w:r>
          </w:p>
        </w:tc>
      </w:tr>
      <w:tr>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Emergencia con afectación de vialidad</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hora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D.S. N° 176/2025, Título III, Cap. II</w:t>
            </w:r>
          </w:p>
        </w:tc>
      </w:tr>
    </w:tbl>
    <w:p>
      <w:pPr>
        <w:spacing w:after="80" w:before="200"/>
      </w:pPr>
      <w:r>
        <w:rPr>
          <w:b/>
          <w:bCs/>
          <w:color w:val="16263A"/>
          <w:sz w:val="22"/>
          <w:szCs w:val="22"/>
        </w:rPr>
        <w:t xml:space="preserve">Artículo 12°. Respuesta del operador.</w:t>
      </w:r>
    </w:p>
    <w:p>
      <w:pPr>
        <w:spacing w:after="160" w:line="300"/>
        <w:jc w:val="both"/>
      </w:pPr>
      <w:r>
        <w:rPr>
          <w:sz w:val="22"/>
          <w:szCs w:val="22"/>
        </w:rPr>
        <w:t xml:space="preserve">Recibida la notificación, el operador podrá: a) reconocer el desuso y programar el retiro dentro de plazo; b) formular discrepancia fundada ante SUBTEL conforme al mecanismo de resolución de discrepancias del D.S. N° 176/2025; o c) guardar silencio. El silencio o la respuesta extemporánea habilitarán a la Municipalidad para denunciar ante el Juzgado de Policía Local y, vencido el plazo sin discrepancia pendiente, para ejecutar subsidiariamente el retiro.</w:t>
      </w:r>
    </w:p>
    <w:p>
      <w:pPr>
        <w:pStyle w:val="Heading1"/>
        <w:spacing w:after="200" w:before="320"/>
      </w:pPr>
      <w:r>
        <w:t xml:space="preserve">TÍTULO V · INFRACCIONES Y SANCIONES</w:t>
      </w:r>
    </w:p>
    <w:p>
      <w:pPr>
        <w:spacing w:after="80" w:before="200"/>
      </w:pPr>
      <w:r>
        <w:rPr>
          <w:b/>
          <w:bCs/>
          <w:color w:val="16263A"/>
          <w:sz w:val="22"/>
          <w:szCs w:val="22"/>
        </w:rPr>
        <w:t xml:space="preserve">Artículo 13°. Multas.</w:t>
      </w:r>
    </w:p>
    <w:p>
      <w:pPr>
        <w:spacing w:after="160" w:line="300"/>
        <w:jc w:val="both"/>
      </w:pPr>
      <w:r>
        <w:rPr>
          <w:sz w:val="22"/>
          <w:szCs w:val="22"/>
        </w:rPr>
        <w:t xml:space="preserve">Las infracciones a la presente Ordenanza serán conocidas por el Juzgado de Policía Local conforme a la Ley N° 18.287 y sancionadas con multa diaria por cada poste, elemento o punto infraccionado, según la siguiente graduación: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Gravedad</w:t>
            </w:r>
          </w:p>
        </w:tc>
        <w:tc>
          <w:tcPr>
            <w:tcW w:type="dxa" w:w="468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Descripción</w:t>
            </w:r>
          </w:p>
        </w:tc>
        <w:tc>
          <w:tcPr>
            <w:tcW w:type="dxa" w:w="234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Multa diaria por elemento</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Sin infracción</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Elemento operativo, identificado y en norma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0 UTM</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Leve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Desorden, marca de color faltante o ilegible, incumplimiento formal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UTM</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Moderada (abandono)</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Elemento en desuso calificado, sin riesgo inminente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 UTM</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Grave (riesgo inminente)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Afectación o amenaza a personas, bienes, vialidad o patrimonio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 UTM</w:t>
            </w:r>
          </w:p>
        </w:tc>
      </w:tr>
    </w:tbl>
    <w:p>
      <w:pPr>
        <w:spacing w:after="160" w:line="300"/>
        <w:jc w:val="both"/>
      </w:pPr>
      <w:r>
        <w:rPr>
          <w:sz w:val="22"/>
          <w:szCs w:val="22"/>
        </w:rPr>
        <w:t xml:space="preserve">La multa se devengará por cada día de atraso contado desde el vencimiento del plazo de retiro, con el tope por hecho de 100 a 1.000 UTM establecido en la Ley N° 18.287. La ausencia de marca de color constituirá infracción autónoma sancionable de 1 a 5 UTM, conforme a la Res. Ex. N° 1.642/2025.</w:t>
      </w:r>
    </w:p>
    <w:p>
      <w:pPr>
        <w:spacing w:after="80" w:before="200"/>
      </w:pPr>
      <w:r>
        <w:rPr>
          <w:b/>
          <w:bCs/>
          <w:color w:val="16263A"/>
          <w:sz w:val="22"/>
          <w:szCs w:val="22"/>
        </w:rPr>
        <w:t xml:space="preserve">Artículo 14°. Denuncia.</w:t>
      </w:r>
    </w:p>
    <w:p>
      <w:pPr>
        <w:spacing w:after="160" w:line="300"/>
        <w:jc w:val="both"/>
      </w:pPr>
      <w:r>
        <w:rPr>
          <w:sz w:val="22"/>
          <w:szCs w:val="22"/>
        </w:rPr>
        <w:t xml:space="preserve">La denuncia ante el Juzgado de Policía Local será suscrita por el Asesor Jurídico municipal o quien lo subrogue, acompañando la ficha de fiscalización, la evidencia fotográfica con su hash de integridad, el registro de notificaciones y el cálculo de la multa. En ningún caso el cálculo de multa se remitirá de manera automática sin dicha revisión jurídica.</w:t>
      </w:r>
    </w:p>
    <w:p>
      <w:pPr>
        <w:pStyle w:val="Heading1"/>
        <w:spacing w:after="200" w:before="320"/>
      </w:pPr>
      <w:r>
        <w:t xml:space="preserve">TÍTULO VI · EJECUCIÓN SUBSIDIARIA</w:t>
      </w:r>
    </w:p>
    <w:p>
      <w:pPr>
        <w:spacing w:after="80" w:before="200"/>
      </w:pPr>
      <w:r>
        <w:rPr>
          <w:b/>
          <w:bCs/>
          <w:color w:val="16263A"/>
          <w:sz w:val="22"/>
          <w:szCs w:val="22"/>
        </w:rPr>
        <w:t xml:space="preserve">Artículo 15°. Procedencia.</w:t>
      </w:r>
    </w:p>
    <w:p>
      <w:pPr>
        <w:spacing w:after="160" w:line="300"/>
        <w:jc w:val="both"/>
      </w:pPr>
      <w:r>
        <w:rPr>
          <w:sz w:val="22"/>
          <w:szCs w:val="22"/>
        </w:rPr>
        <w:t xml:space="preserve">Vencido el plazo de retiro sin cumplimiento y no existiendo discrepancia pendiente ante SUBTEL, la Municipalidad podrá ejecutar subsidiariamente el retiro de los elementos, con cargo al operador responsable, conforme a la Ley N° 21.172. Los costos se perseguirán por la vía judicial correspondiente, sin perjuicio de las multas devengadas.</w:t>
      </w:r>
    </w:p>
    <w:p>
      <w:pPr>
        <w:pStyle w:val="Heading1"/>
        <w:spacing w:after="200" w:before="320"/>
      </w:pPr>
      <w:r>
        <w:t xml:space="preserve">TÍTULO VII · DISPOSICIONES FINALES</w:t>
      </w:r>
    </w:p>
    <w:p>
      <w:pPr>
        <w:spacing w:after="80" w:before="200"/>
      </w:pPr>
      <w:r>
        <w:rPr>
          <w:b/>
          <w:bCs/>
          <w:color w:val="16263A"/>
          <w:sz w:val="22"/>
          <w:szCs w:val="22"/>
        </w:rPr>
        <w:t xml:space="preserve">Artículo 16°. Prescripción.</w:t>
      </w:r>
    </w:p>
    <w:p>
      <w:pPr>
        <w:spacing w:after="160" w:line="300"/>
        <w:jc w:val="both"/>
      </w:pPr>
      <w:r>
        <w:rPr>
          <w:sz w:val="22"/>
          <w:szCs w:val="22"/>
        </w:rPr>
        <w:t xml:space="preserve">Las acciones contravencionales prescribirán conforme a la Ley N° 18.287. El sistema municipal de fiscalización generará alerta preventiva a los cinco meses desde la constatación.</w:t>
      </w:r>
    </w:p>
    <w:p>
      <w:pPr>
        <w:spacing w:after="80" w:before="200"/>
      </w:pPr>
      <w:r>
        <w:rPr>
          <w:b/>
          <w:bCs/>
          <w:color w:val="16263A"/>
          <w:sz w:val="22"/>
          <w:szCs w:val="22"/>
        </w:rPr>
        <w:t xml:space="preserve">Artículo 17°. Vigencia.</w:t>
      </w:r>
    </w:p>
    <w:p>
      <w:pPr>
        <w:spacing w:after="160" w:line="300"/>
        <w:jc w:val="both"/>
      </w:pPr>
      <w:r>
        <w:rPr>
          <w:sz w:val="22"/>
          <w:szCs w:val="22"/>
        </w:rPr>
        <w:t xml:space="preserve">La presente Ordenanza entrará en vigencia a contar de su publicación conforme al artículo 12 de la Ley N° 18.695.</w:t>
      </w:r>
    </w:p>
    <w:p>
      <w:pPr>
        <w:pStyle w:val="Heading1"/>
        <w:pageBreakBefore/>
      </w:pPr>
      <w:r>
        <w:t xml:space="preserve">ANEXO · PARÁMETROS A COMPLETAR POR CADA COMUNA</w:t>
      </w:r>
    </w:p>
    <w:p>
      <w:pPr>
        <w:spacing w:after="160" w:line="300"/>
        <w:jc w:val="both"/>
      </w:pPr>
      <w:r>
        <w:rPr>
          <w:sz w:val="22"/>
          <w:szCs w:val="22"/>
        </w:rPr>
        <w:t xml:space="preserve">Esta ordenanza tipo es directamente aplicable a cualquier comuna reemplazando los siguientes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Campo</w:t>
            </w:r>
          </w:p>
        </w:tc>
        <w:tc>
          <w:tcPr>
            <w:tcW w:type="dxa" w:w="376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Valor a completar</w:t>
            </w:r>
          </w:p>
        </w:tc>
        <w:tc>
          <w:tcPr>
            <w:tcW w:type="dxa" w:w="2800"/>
            <w:tcBorders>
              <w:top w:val="single" w:color="AAAAAA" w:sz="1"/>
              <w:left w:val="single" w:color="AAAAAA" w:sz="1"/>
              <w:bottom w:val="single" w:color="AAAAAA" w:sz="1"/>
              <w:right w:val="single" w:color="AAAAAA" w:sz="1"/>
            </w:tcBorders>
            <w:shd w:fill="16263A" w:val="clear"/>
            <w:tcMar>
              <w:top w:type="dxa" w:w="80"/>
              <w:left w:type="dxa" w:w="120"/>
              <w:bottom w:type="dxa" w:w="80"/>
              <w:right w:type="dxa" w:w="120"/>
            </w:tcMar>
          </w:tcPr>
          <w:p>
            <w:r>
              <w:rPr>
                <w:b/>
                <w:bCs/>
                <w:color w:val="FFFFFF"/>
                <w:sz w:val="20"/>
                <w:szCs w:val="20"/>
              </w:rPr>
              <w:t xml:space="preserve">Referencia</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[COMUNA]</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Nombre de la comuna</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Todo el texto</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[NÚMERO] / [FECHA]</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 y fecha del Decreto Alcaldicio</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Encabezado</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Multa diaria por gravedad</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Rango 0 a 5 UTM (ajustable por el Concejo)</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Artículo 13</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Correo de notificaciones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Casilla institucional DOM habilitada (Of. Circ. 863)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Artículo 10</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Valor UTM de referencia</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$72.307 (abril 2026) · actualización mensual SII</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Cálculo de multas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Plan anual aplicable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2° o 3° plan según Res. Ex. N° 930/2026</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Priorización</w:t>
            </w:r>
          </w:p>
        </w:tc>
      </w:tr>
    </w:tbl>
    <w:p>
      <w:pPr>
        <w:spacing w:after="160" w:line="300"/>
        <w:jc w:val="both"/>
      </w:pPr>
      <w:r>
        <w:rPr>
          <w:sz w:val="22"/>
          <w:szCs w:val="22"/>
        </w:rPr>
        <w:t xml:space="preserve"/>
      </w:r>
    </w:p>
    <w:p>
      <w:pPr>
        <w:spacing w:before="480"/>
        <w:jc w:val="center"/>
      </w:pPr>
      <w:r>
        <w:rPr>
          <w:b/>
          <w:bCs/>
          <w:sz w:val="22"/>
          <w:szCs w:val="22"/>
        </w:rPr>
        <w:t xml:space="preserve">ANÓTESE, COMUNÍQUESE Y PUBLÍQUESE</w:t>
      </w:r>
    </w:p>
    <w:p>
      <w:pPr>
        <w:spacing w:before="480"/>
        <w:jc w:val="center"/>
      </w:pPr>
      <w:r>
        <w:rPr>
          <w:color w:val="9BB0C5"/>
          <w:sz w:val="20"/>
          <w:szCs w:val="20"/>
        </w:rPr>
        <w:t xml:space="preserve">[ALCALDE/SA] · [SECRETARIO/A MUNICIPAL]</w:t>
      </w:r>
    </w:p>
    <w:p>
      <w:pPr>
        <w:jc w:val="center"/>
      </w:pPr>
      <w:r>
        <w:rPr>
          <w:color w:val="9BB0C5"/>
          <w:sz w:val="20"/>
          <w:szCs w:val="20"/>
        </w:rPr>
        <w:t xml:space="preserve">Ilustre Municipalidad de [COMUNA]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B0C5"/>
        <w:sz w:val="16"/>
        <w:szCs w:val="16"/>
      </w:rPr>
      <w:t xml:space="preserve">Página </w:t>
    </w:r>
    <w:r>
      <w:rPr>
        <w:color w:val="9BB0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BB0C5"/>
        <w:sz w:val="16"/>
        <w:szCs w:val="16"/>
      </w:rPr>
      <w:t xml:space="preserve">Ordenanza tipo · Elementos de telecomunicaciones en desuso · Coordenada Pública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6263A"/>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C49A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2026-07-08T20:02:29.826Z</dcterms:created>
  <dcterms:modified xsi:type="dcterms:W3CDTF">2026-07-08T20:02:29.826Z</dcterms:modified>
</cp:coreProperties>
</file>

<file path=docProps/custom.xml><?xml version="1.0" encoding="utf-8"?>
<Properties xmlns="http://schemas.openxmlformats.org/officeDocument/2006/custom-properties" xmlns:vt="http://schemas.openxmlformats.org/officeDocument/2006/docPropsVTypes"/>
</file>