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7BA" w:rsidRPr="007E27BA" w:rsidRDefault="007E27BA" w:rsidP="007E27BA">
      <w:pPr>
        <w:spacing w:after="0" w:line="240" w:lineRule="auto"/>
        <w:rPr>
          <w:rFonts w:ascii="Avenir Next" w:eastAsia="Times New Roman" w:hAnsi="Avenir Next" w:cs="Times New Roman"/>
          <w:color w:val="4C4C4C"/>
          <w:sz w:val="24"/>
          <w:szCs w:val="24"/>
          <w:shd w:val="clear" w:color="auto" w:fill="FFFFFF"/>
          <w:lang w:eastAsia="es-C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4"/>
        <w:gridCol w:w="7204"/>
      </w:tblGrid>
      <w:tr w:rsidR="007E27BA" w:rsidRPr="007E27BA" w:rsidTr="007E27BA">
        <w:trPr>
          <w:trHeight w:val="259"/>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158" w:line="240" w:lineRule="auto"/>
              <w:rPr>
                <w:rFonts w:ascii="Times New Roman" w:eastAsia="Times New Roman" w:hAnsi="Times New Roman" w:cs="Times New Roman"/>
                <w:color w:val="4C4C4C"/>
                <w:sz w:val="24"/>
                <w:szCs w:val="24"/>
                <w:lang w:eastAsia="es-CL"/>
              </w:rPr>
            </w:pPr>
            <w:r w:rsidRPr="007E27BA">
              <w:rPr>
                <w:rFonts w:ascii="Times New Roman" w:eastAsia="Times New Roman" w:hAnsi="Times New Roman" w:cs="Times New Roman"/>
                <w:b/>
                <w:bCs/>
                <w:color w:val="4C4C4C"/>
                <w:sz w:val="14"/>
                <w:szCs w:val="14"/>
                <w:lang w:eastAsia="es-CL"/>
              </w:rPr>
              <w:t> </w:t>
            </w:r>
            <w:r w:rsidRPr="007E27BA">
              <w:rPr>
                <w:rFonts w:ascii="Arial" w:eastAsia="Times New Roman" w:hAnsi="Arial" w:cs="Arial"/>
                <w:b/>
                <w:bCs/>
                <w:color w:val="4C4C4C"/>
                <w:sz w:val="21"/>
                <w:szCs w:val="21"/>
                <w:lang w:eastAsia="es-CL"/>
              </w:rPr>
              <w:t>Información general: </w:t>
            </w:r>
            <w:r w:rsidRPr="007E27BA">
              <w:rPr>
                <w:rFonts w:ascii="Arial" w:eastAsia="Times New Roman" w:hAnsi="Arial" w:cs="Arial"/>
                <w:color w:val="4C4C4C"/>
                <w:sz w:val="21"/>
                <w:szCs w:val="21"/>
                <w:lang w:eastAsia="es-CL"/>
              </w:rPr>
              <w:t>Indicador Socio Material Territorial, calculado a partir de variables censales (2017) correspondientes a escolaridad, hacinamiento, allegamiento y materialidad de la vivienda</w:t>
            </w:r>
          </w:p>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p>
        </w:tc>
      </w:tr>
      <w:tr w:rsidR="007E27BA" w:rsidRPr="007E27BA" w:rsidTr="007E27BA">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1.1 Título del mapa, gráfico, tabla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Índice socio material territorial (ISMT)</w:t>
            </w:r>
          </w:p>
        </w:tc>
      </w:tr>
      <w:tr w:rsidR="007E27BA" w:rsidRPr="007E27BA" w:rsidTr="007E27BA">
        <w:trPr>
          <w:trHeight w:val="55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1.2 Breve 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La construcción social del territorio y su materialidad resultan de una dialéctica socio-espacial donde se reconoce que el componente social estructura los territorios, al mismo tiempo que los territorios dan forma a la sociedad. En el presente estudio, esta dialéctica es fundamental para comprender la dimensión de materialidad territorial, la cual es observada a través de variables sociales y la calidad de la vivienda en la ciudad de Santiago.</w:t>
            </w:r>
          </w:p>
        </w:tc>
      </w:tr>
      <w:tr w:rsidR="007E27BA" w:rsidRPr="007E27BA" w:rsidTr="007E27BA">
        <w:trPr>
          <w:trHeight w:val="56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1.3 Objetivo del análisis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Este índice no abarca la pobreza y precariedad socioeconómica del hábitat urbano/rural de manera directa, pero si busca identificar rasgos y tendencias de la materialidad que den señales territoriales de este componente social.</w:t>
            </w:r>
          </w:p>
        </w:tc>
      </w:tr>
      <w:tr w:rsidR="007E27BA" w:rsidRPr="007E27BA" w:rsidTr="007E27BA">
        <w:trPr>
          <w:trHeight w:val="56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7E27BA" w:rsidRPr="007E27BA" w:rsidRDefault="007E27BA" w:rsidP="007E27BA">
            <w:pPr>
              <w:spacing w:after="0" w:line="240" w:lineRule="auto"/>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1.4 Limitaciones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Este indicador no se denomina formalmente como un indicador socioeconómico, debido a que es imposible buscar la correlación de manera formal entre el ingreso de la encuesta CASEN (2017) y el Censo para el mismo año, esto debido a que la Casen ha ido perdiendo representatividad territorial, ya que su marco muestral se basa en la evolución demográfica entre los censos de 1992 y 2002, por lo tanto al momento de evaluar correlaciones no se puede aislar el efecto de la baja en el coeficiente de determinación de las variables constitutivas del indicador y los problemas de representatividad. Para más detalles revisar (</w:t>
            </w:r>
            <w:r w:rsidRPr="007E27BA">
              <w:rPr>
                <w:rFonts w:ascii="Arial" w:eastAsia="Times New Roman" w:hAnsi="Arial" w:cs="Arial"/>
                <w:color w:val="4C4C4C"/>
                <w:sz w:val="21"/>
                <w:szCs w:val="21"/>
                <w:lang w:eastAsia="es-CL"/>
              </w:rPr>
              <w:t>Truffello, R., Flores, M., Garreton, M., &amp; Ruz, G. (2022). La importancia del espacio geográfico para minimizar el error de muestras representativas. Revista de Geografía Norte Grande, 160, 81–131. https://doi.org/10.4067/S0718-34022022000100137</w:t>
            </w:r>
            <w:r>
              <w:rPr>
                <w:rFonts w:ascii="Arial" w:eastAsia="Times New Roman" w:hAnsi="Arial" w:cs="Arial"/>
                <w:color w:val="4C4C4C"/>
                <w:sz w:val="21"/>
                <w:szCs w:val="21"/>
                <w:lang w:eastAsia="es-CL"/>
              </w:rPr>
              <w:t>)</w:t>
            </w:r>
          </w:p>
        </w:tc>
      </w:tr>
      <w:tr w:rsidR="007E27BA" w:rsidRPr="007E27BA" w:rsidTr="007E27BA">
        <w:trPr>
          <w:trHeight w:val="259"/>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158" w:line="240" w:lineRule="auto"/>
              <w:rPr>
                <w:rFonts w:ascii="Times New Roman" w:eastAsia="Times New Roman" w:hAnsi="Times New Roman" w:cs="Times New Roman"/>
                <w:b/>
                <w:bCs/>
                <w:color w:val="4C4C4C"/>
                <w:sz w:val="14"/>
                <w:szCs w:val="14"/>
                <w:lang w:eastAsia="es-CL"/>
              </w:rPr>
            </w:pPr>
            <w:r w:rsidRPr="007E27BA">
              <w:rPr>
                <w:rFonts w:ascii="Arial" w:eastAsia="Times New Roman" w:hAnsi="Arial" w:cs="Arial"/>
                <w:b/>
                <w:bCs/>
                <w:color w:val="4C4C4C"/>
                <w:sz w:val="21"/>
                <w:szCs w:val="21"/>
                <w:lang w:eastAsia="es-CL"/>
              </w:rPr>
              <w:t>2.       Metodología</w:t>
            </w:r>
          </w:p>
        </w:tc>
      </w:tr>
      <w:tr w:rsidR="007E27BA" w:rsidRPr="007E27BA" w:rsidTr="007E27BA">
        <w:trPr>
          <w:trHeight w:val="44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000000"/>
                <w:sz w:val="21"/>
                <w:szCs w:val="21"/>
                <w:lang w:eastAsia="es-CL"/>
              </w:rPr>
              <w:t>2.1 Fuente de datos </w:t>
            </w:r>
            <w:r w:rsidRPr="007E27BA">
              <w:rPr>
                <w:rFonts w:ascii="Arial" w:eastAsia="Times New Roman" w:hAnsi="Arial" w:cs="Arial"/>
                <w:i/>
                <w:iCs/>
                <w:color w:val="000000"/>
                <w:sz w:val="21"/>
                <w:szCs w:val="21"/>
                <w:lang w:eastAsia="es-CL"/>
              </w:rPr>
              <w:t>(fuente y año)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CENSO 2017</w:t>
            </w:r>
            <w:r w:rsidR="00B73504">
              <w:rPr>
                <w:rFonts w:ascii="Arial" w:eastAsia="Times New Roman" w:hAnsi="Arial" w:cs="Arial"/>
                <w:color w:val="4C4C4C"/>
                <w:sz w:val="21"/>
                <w:szCs w:val="21"/>
                <w:lang w:eastAsia="es-CL"/>
              </w:rPr>
              <w:t>, 2012, 2002 y 1992</w:t>
            </w:r>
            <w:r w:rsidRPr="007E27BA">
              <w:rPr>
                <w:rFonts w:ascii="Arial" w:eastAsia="Times New Roman" w:hAnsi="Arial" w:cs="Arial"/>
                <w:color w:val="4C4C4C"/>
                <w:sz w:val="21"/>
                <w:szCs w:val="21"/>
                <w:lang w:eastAsia="es-CL"/>
              </w:rPr>
              <w:t>, procesado en R Studio</w:t>
            </w:r>
          </w:p>
        </w:tc>
      </w:tr>
      <w:tr w:rsidR="007E27BA" w:rsidRPr="007E27BA" w:rsidTr="007E27BA">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000000"/>
                <w:sz w:val="21"/>
                <w:szCs w:val="21"/>
                <w:lang w:eastAsia="es-CL"/>
              </w:rPr>
              <w:t>2.2 Propiedad de los datos </w:t>
            </w:r>
            <w:r w:rsidRPr="007E27BA">
              <w:rPr>
                <w:rFonts w:ascii="Arial" w:eastAsia="Times New Roman" w:hAnsi="Arial" w:cs="Arial"/>
                <w:i/>
                <w:iCs/>
                <w:color w:val="000000"/>
                <w:sz w:val="21"/>
                <w:szCs w:val="21"/>
                <w:lang w:eastAsia="es-CL"/>
              </w:rPr>
              <w:t>(públicos o privados)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Público (se prohíbe su comercialización)</w:t>
            </w:r>
          </w:p>
        </w:tc>
      </w:tr>
      <w:tr w:rsidR="007E27BA" w:rsidRPr="007E27BA" w:rsidTr="007E27BA">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000000"/>
                <w:sz w:val="21"/>
                <w:szCs w:val="21"/>
                <w:lang w:eastAsia="es-CL"/>
              </w:rPr>
              <w:t>2.3 Área de análisis</w:t>
            </w:r>
            <w:r w:rsidRPr="007E27BA">
              <w:rPr>
                <w:rFonts w:ascii="Arial" w:eastAsia="Times New Roman" w:hAnsi="Arial" w:cs="Arial"/>
                <w:i/>
                <w:iCs/>
                <w:color w:val="000000"/>
                <w:sz w:val="21"/>
                <w:szCs w:val="21"/>
                <w:lang w:eastAsia="es-CL"/>
              </w:rPr>
              <w:t> (qué zonas, comunas o áreas fueron analizadas)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Pr>
                <w:rFonts w:ascii="Arial" w:eastAsia="Times New Roman" w:hAnsi="Arial" w:cs="Arial"/>
                <w:color w:val="4C4C4C"/>
                <w:sz w:val="21"/>
                <w:szCs w:val="21"/>
                <w:lang w:eastAsia="es-CL"/>
              </w:rPr>
              <w:t>Todo Chile a nivel de zona Censal</w:t>
            </w:r>
          </w:p>
        </w:tc>
      </w:tr>
      <w:tr w:rsidR="007E27BA" w:rsidRPr="007E27BA" w:rsidTr="007E27BA">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000000"/>
                <w:sz w:val="21"/>
                <w:szCs w:val="21"/>
                <w:lang w:eastAsia="es-CL"/>
              </w:rPr>
              <w:t>2.4 Supuestos relevantes </w:t>
            </w:r>
            <w:r w:rsidRPr="007E27BA">
              <w:rPr>
                <w:rFonts w:ascii="Arial" w:eastAsia="Times New Roman" w:hAnsi="Arial" w:cs="Arial"/>
                <w:i/>
                <w:iCs/>
                <w:color w:val="000000"/>
                <w:sz w:val="21"/>
                <w:szCs w:val="21"/>
                <w:lang w:eastAsia="es-CL"/>
              </w:rPr>
              <w:t>(qué suposiciones consideró el modelo)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Times New Roman" w:eastAsia="Times New Roman" w:hAnsi="Times New Roman" w:cs="Times New Roman"/>
                <w:color w:val="4C4C4C"/>
                <w:sz w:val="24"/>
                <w:szCs w:val="24"/>
                <w:lang w:eastAsia="es-CL"/>
              </w:rPr>
            </w:pPr>
            <w:r w:rsidRPr="007E27BA">
              <w:rPr>
                <w:rFonts w:ascii="Arial" w:eastAsia="Times New Roman" w:hAnsi="Arial" w:cs="Arial"/>
                <w:color w:val="4C4C4C"/>
                <w:sz w:val="21"/>
                <w:szCs w:val="21"/>
                <w:lang w:eastAsia="es-CL"/>
              </w:rPr>
              <w:t>La generación del índice supone que el mayor nivel de sociomaterialidad se caracteriza por un alto nivel de escolaridad alcanzado por el jefe de hogar, un bajo nivel de hacinamiento y allegamiento y la presencia y concentración de viviendas con materialidad aceptable.</w:t>
            </w:r>
          </w:p>
        </w:tc>
      </w:tr>
      <w:tr w:rsidR="007E27BA" w:rsidRPr="007E27BA" w:rsidTr="007E27BA">
        <w:trPr>
          <w:trHeight w:val="177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rPr>
                <w:rFonts w:ascii="Times New Roman" w:eastAsia="Times New Roman" w:hAnsi="Times New Roman" w:cs="Times New Roman"/>
                <w:color w:val="4C4C4C"/>
                <w:sz w:val="24"/>
                <w:szCs w:val="24"/>
                <w:lang w:eastAsia="es-CL"/>
              </w:rPr>
            </w:pPr>
            <w:r w:rsidRPr="007E27BA">
              <w:rPr>
                <w:rFonts w:ascii="Arial" w:eastAsia="Times New Roman" w:hAnsi="Arial" w:cs="Arial"/>
                <w:color w:val="000000"/>
                <w:sz w:val="21"/>
                <w:szCs w:val="21"/>
                <w:lang w:eastAsia="es-CL"/>
              </w:rPr>
              <w:lastRenderedPageBreak/>
              <w:t>2.5 Descripción detallada de la metodología</w:t>
            </w:r>
            <w:r w:rsidRPr="007E27BA">
              <w:rPr>
                <w:rFonts w:ascii="Arial" w:eastAsia="Times New Roman" w:hAnsi="Arial" w:cs="Arial"/>
                <w:i/>
                <w:iCs/>
                <w:color w:val="000000"/>
                <w:sz w:val="21"/>
                <w:szCs w:val="21"/>
                <w:lang w:eastAsia="es-CL"/>
              </w:rPr>
              <w:t>(software que se usó, cálculos realizados, resultados intermedios…)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xml:space="preserve">La elaboración del ISMT se realizó tomando en cuenta 4 índices socio-materiales con especificidad territorial, rescatados del censo 2017 mediante </w:t>
            </w:r>
            <w:r w:rsidR="00B73504">
              <w:rPr>
                <w:rFonts w:ascii="Arial" w:eastAsia="Times New Roman" w:hAnsi="Arial" w:cs="Arial"/>
                <w:color w:val="4C4C4C"/>
                <w:sz w:val="21"/>
                <w:szCs w:val="21"/>
                <w:lang w:eastAsia="es-CL"/>
              </w:rPr>
              <w:t>R Studio</w:t>
            </w:r>
            <w:r w:rsidRPr="007E27BA">
              <w:rPr>
                <w:rFonts w:ascii="Arial" w:eastAsia="Times New Roman" w:hAnsi="Arial" w:cs="Arial"/>
                <w:color w:val="4C4C4C"/>
                <w:sz w:val="21"/>
                <w:szCs w:val="21"/>
                <w:lang w:eastAsia="es-CL"/>
              </w:rPr>
              <w:t>. Éstos son los índices de escolaridad del jefe de hogar, la materialidad de la vivienda, y el hacinamiento.</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Índice de escolaridad del jefe de hogar: El índice de escolaridad se calculó tomando en cuenta 7 niveles de escolaridad alcanzado por el jefe de hogar:</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Sin instrucción: Sala cuna o jardín infantil, pre-kínder, kínder.</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Primario: Educación básica, primaria o preparatoria (sistema antiguo).</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Secundario: Científico-humanista, técnica profesional, humanidades (sistema antiguo), técnica comercial, industrial/normalista (sistema antiguo).</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Profesional técnico: Técnico superior (0 a 3 años).</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Profesional pregrado: Profesional (4 o más años).</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Magister</w:t>
            </w:r>
          </w:p>
          <w:p w:rsid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Doctorado</w:t>
            </w:r>
          </w:p>
          <w:p w:rsidR="00B73504" w:rsidRPr="007E27BA" w:rsidRDefault="00B73504" w:rsidP="00B73504">
            <w:pPr>
              <w:spacing w:after="0" w:line="240" w:lineRule="auto"/>
              <w:jc w:val="both"/>
              <w:rPr>
                <w:rFonts w:ascii="Arial" w:eastAsia="Times New Roman" w:hAnsi="Arial" w:cs="Arial"/>
                <w:color w:val="4C4C4C"/>
                <w:sz w:val="21"/>
                <w:szCs w:val="21"/>
                <w:lang w:eastAsia="es-CL"/>
              </w:rPr>
            </w:pP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Estos niveles de escolaridad fueron complementados con información del censo que hace referencia a si se completó o no el nivel educacional previamente declarado. (Variables p14 y p15)</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B73504"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Índice de calidad de la vivienda: El índice de calidad de la vivienda se calculó tomando en consideración los parámetros definidos por el Ministerio de Desarrollo Social (MDS). De acuerdo con este índice, se consideraron 3 dimensiones a evaluar en las viviendas ocupadas: Las paredes exteriores, el techo y el piso. Estas condiciones se evalúan y resultan en un índice de la vivi</w:t>
            </w:r>
            <w:r w:rsidR="00B73504">
              <w:rPr>
                <w:rFonts w:ascii="Arial" w:eastAsia="Times New Roman" w:hAnsi="Arial" w:cs="Arial"/>
                <w:color w:val="4C4C4C"/>
                <w:sz w:val="21"/>
                <w:szCs w:val="21"/>
                <w:lang w:eastAsia="es-CL"/>
              </w:rPr>
              <w:t xml:space="preserve">enda basado en aquellas que son: </w:t>
            </w:r>
          </w:p>
          <w:p w:rsidR="00B73504" w:rsidRDefault="00B73504" w:rsidP="007E27BA">
            <w:pPr>
              <w:spacing w:after="0" w:line="240" w:lineRule="auto"/>
              <w:jc w:val="both"/>
              <w:rPr>
                <w:rFonts w:ascii="Arial" w:eastAsia="Times New Roman" w:hAnsi="Arial" w:cs="Arial"/>
                <w:color w:val="4C4C4C"/>
                <w:sz w:val="21"/>
                <w:szCs w:val="21"/>
                <w:lang w:eastAsia="es-CL"/>
              </w:rPr>
            </w:pP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ACEPTABLES, RECUPERABLES e IRRECUPERABLES.</w:t>
            </w:r>
          </w:p>
          <w:p w:rsidR="007E27BA" w:rsidRPr="007E27BA" w:rsidRDefault="007E27BA" w:rsidP="00B73504">
            <w:pPr>
              <w:spacing w:after="0" w:line="240" w:lineRule="auto"/>
              <w:ind w:left="360" w:hanging="360"/>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         Paredes exteriores de la vivienda</w:t>
            </w:r>
          </w:p>
          <w:p w:rsidR="007E27BA" w:rsidRPr="007E27BA" w:rsidRDefault="007E27BA" w:rsidP="007E27BA">
            <w:pPr>
              <w:spacing w:after="0" w:line="240" w:lineRule="auto"/>
              <w:ind w:left="709" w:hanging="371"/>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ACEPTABLES: Hormigón, armado; albañilería, tabique forrado por ambas caras.</w:t>
            </w:r>
          </w:p>
          <w:p w:rsidR="007E27BA" w:rsidRPr="007E27BA" w:rsidRDefault="00B73504" w:rsidP="007E27BA">
            <w:pPr>
              <w:spacing w:after="0" w:line="240" w:lineRule="auto"/>
              <w:ind w:left="720" w:hanging="360"/>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RECUPERABLES</w:t>
            </w:r>
            <w:r w:rsidR="007E27BA" w:rsidRPr="007E27BA">
              <w:rPr>
                <w:rFonts w:ascii="Arial" w:eastAsia="Times New Roman" w:hAnsi="Arial" w:cs="Arial"/>
                <w:color w:val="4C4C4C"/>
                <w:sz w:val="21"/>
                <w:szCs w:val="21"/>
                <w:lang w:eastAsia="es-CL"/>
              </w:rPr>
              <w:t>: Tabique sin forro interior.</w:t>
            </w:r>
          </w:p>
          <w:p w:rsidR="007E27BA" w:rsidRPr="007E27BA" w:rsidRDefault="00B73504" w:rsidP="007E27BA">
            <w:pPr>
              <w:spacing w:after="0" w:line="240" w:lineRule="auto"/>
              <w:ind w:left="720" w:hanging="360"/>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IRRECUPERABLES</w:t>
            </w:r>
            <w:r w:rsidR="007E27BA" w:rsidRPr="007E27BA">
              <w:rPr>
                <w:rFonts w:ascii="Arial" w:eastAsia="Times New Roman" w:hAnsi="Arial" w:cs="Arial"/>
                <w:color w:val="4C4C4C"/>
                <w:sz w:val="21"/>
                <w:szCs w:val="21"/>
                <w:lang w:eastAsia="es-CL"/>
              </w:rPr>
              <w:t>: Materiales precarios o de desechos.</w:t>
            </w:r>
          </w:p>
          <w:p w:rsidR="007E27BA" w:rsidRPr="007E27BA" w:rsidRDefault="007E27BA" w:rsidP="00B73504">
            <w:pPr>
              <w:spacing w:after="0" w:line="240" w:lineRule="auto"/>
              <w:ind w:left="360" w:hanging="360"/>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         Techo</w:t>
            </w:r>
          </w:p>
          <w:p w:rsidR="007E27BA" w:rsidRPr="007E27BA" w:rsidRDefault="00B73504" w:rsidP="007E27BA">
            <w:pPr>
              <w:spacing w:after="0" w:line="240" w:lineRule="auto"/>
              <w:ind w:left="705" w:hanging="360"/>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ACEPTABLE</w:t>
            </w:r>
            <w:r w:rsidR="007E27BA" w:rsidRPr="007E27BA">
              <w:rPr>
                <w:rFonts w:ascii="Arial" w:eastAsia="Times New Roman" w:hAnsi="Arial" w:cs="Arial"/>
                <w:color w:val="4C4C4C"/>
                <w:sz w:val="21"/>
                <w:szCs w:val="21"/>
                <w:lang w:eastAsia="es-CL"/>
              </w:rPr>
              <w:t>: Tejas o tejuela, fibrocemento.</w:t>
            </w:r>
          </w:p>
          <w:p w:rsidR="007E27BA" w:rsidRPr="007E27BA" w:rsidRDefault="00B73504" w:rsidP="007E27BA">
            <w:pPr>
              <w:spacing w:after="0" w:line="240" w:lineRule="auto"/>
              <w:ind w:left="705" w:hanging="360"/>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RECUPERABLE</w:t>
            </w:r>
            <w:r w:rsidR="007E27BA" w:rsidRPr="007E27BA">
              <w:rPr>
                <w:rFonts w:ascii="Arial" w:eastAsia="Times New Roman" w:hAnsi="Arial" w:cs="Arial"/>
                <w:color w:val="4C4C4C"/>
                <w:sz w:val="21"/>
                <w:szCs w:val="21"/>
                <w:lang w:eastAsia="es-CL"/>
              </w:rPr>
              <w:t>: Fonolita; paja, coirón, totora o caña.</w:t>
            </w:r>
          </w:p>
          <w:p w:rsidR="007E27BA" w:rsidRPr="007E27BA" w:rsidRDefault="00B73504" w:rsidP="007E27BA">
            <w:pPr>
              <w:spacing w:after="0" w:line="240" w:lineRule="auto"/>
              <w:ind w:left="705" w:hanging="360"/>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IRRECUPERABLE</w:t>
            </w:r>
            <w:r w:rsidR="007E27BA" w:rsidRPr="007E27BA">
              <w:rPr>
                <w:rFonts w:ascii="Arial" w:eastAsia="Times New Roman" w:hAnsi="Arial" w:cs="Arial"/>
                <w:color w:val="4C4C4C"/>
                <w:sz w:val="21"/>
                <w:szCs w:val="21"/>
                <w:lang w:eastAsia="es-CL"/>
              </w:rPr>
              <w:t>: Materiales precarios o de desecho; sin cubierta en el techo.</w:t>
            </w:r>
          </w:p>
          <w:p w:rsidR="007E27BA" w:rsidRPr="007E27BA" w:rsidRDefault="007E27BA" w:rsidP="00B73504">
            <w:pPr>
              <w:spacing w:after="0" w:line="240" w:lineRule="auto"/>
              <w:ind w:left="360" w:hanging="360"/>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         Piso</w:t>
            </w:r>
          </w:p>
          <w:p w:rsidR="007E27BA" w:rsidRPr="007E27BA" w:rsidRDefault="00B73504" w:rsidP="007E27BA">
            <w:pPr>
              <w:spacing w:after="0" w:line="240" w:lineRule="auto"/>
              <w:ind w:left="709" w:hanging="284"/>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ACEPTABLE</w:t>
            </w:r>
            <w:r w:rsidR="007E27BA" w:rsidRPr="007E27BA">
              <w:rPr>
                <w:rFonts w:ascii="Arial" w:eastAsia="Times New Roman" w:hAnsi="Arial" w:cs="Arial"/>
                <w:color w:val="4C4C4C"/>
                <w:sz w:val="21"/>
                <w:szCs w:val="21"/>
                <w:lang w:eastAsia="es-CL"/>
              </w:rPr>
              <w:t xml:space="preserve">: </w:t>
            </w:r>
            <w:proofErr w:type="spellStart"/>
            <w:r w:rsidR="007E27BA" w:rsidRPr="007E27BA">
              <w:rPr>
                <w:rFonts w:ascii="Arial" w:eastAsia="Times New Roman" w:hAnsi="Arial" w:cs="Arial"/>
                <w:color w:val="4C4C4C"/>
                <w:sz w:val="21"/>
                <w:szCs w:val="21"/>
                <w:lang w:eastAsia="es-CL"/>
              </w:rPr>
              <w:t>Pa</w:t>
            </w:r>
            <w:bookmarkStart w:id="0" w:name="_GoBack"/>
            <w:bookmarkEnd w:id="0"/>
            <w:r w:rsidR="007E27BA" w:rsidRPr="007E27BA">
              <w:rPr>
                <w:rFonts w:ascii="Arial" w:eastAsia="Times New Roman" w:hAnsi="Arial" w:cs="Arial"/>
                <w:color w:val="4C4C4C"/>
                <w:sz w:val="21"/>
                <w:szCs w:val="21"/>
                <w:lang w:eastAsia="es-CL"/>
              </w:rPr>
              <w:t>rquet</w:t>
            </w:r>
            <w:proofErr w:type="spellEnd"/>
            <w:r w:rsidR="007E27BA" w:rsidRPr="007E27BA">
              <w:rPr>
                <w:rFonts w:ascii="Arial" w:eastAsia="Times New Roman" w:hAnsi="Arial" w:cs="Arial"/>
                <w:color w:val="4C4C4C"/>
                <w:sz w:val="21"/>
                <w:szCs w:val="21"/>
                <w:lang w:eastAsia="es-CL"/>
              </w:rPr>
              <w:t xml:space="preserve">, madera, piso flotante o similar; cerámico, </w:t>
            </w:r>
            <w:proofErr w:type="spellStart"/>
            <w:r w:rsidR="007E27BA" w:rsidRPr="007E27BA">
              <w:rPr>
                <w:rFonts w:ascii="Arial" w:eastAsia="Times New Roman" w:hAnsi="Arial" w:cs="Arial"/>
                <w:color w:val="4C4C4C"/>
                <w:sz w:val="21"/>
                <w:szCs w:val="21"/>
                <w:lang w:eastAsia="es-CL"/>
              </w:rPr>
              <w:t>flexit</w:t>
            </w:r>
            <w:proofErr w:type="spellEnd"/>
            <w:r w:rsidR="007E27BA" w:rsidRPr="007E27BA">
              <w:rPr>
                <w:rFonts w:ascii="Arial" w:eastAsia="Times New Roman" w:hAnsi="Arial" w:cs="Arial"/>
                <w:color w:val="4C4C4C"/>
                <w:sz w:val="21"/>
                <w:szCs w:val="21"/>
                <w:lang w:eastAsia="es-CL"/>
              </w:rPr>
              <w:t>; alfombra o cubre piso.</w:t>
            </w:r>
          </w:p>
          <w:p w:rsidR="007E27BA" w:rsidRPr="007E27BA" w:rsidRDefault="00B73504" w:rsidP="007E27BA">
            <w:pPr>
              <w:spacing w:after="0" w:line="240" w:lineRule="auto"/>
              <w:ind w:left="709" w:hanging="284"/>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RECUPERABLE</w:t>
            </w:r>
            <w:r w:rsidR="007E27BA" w:rsidRPr="007E27BA">
              <w:rPr>
                <w:rFonts w:ascii="Arial" w:eastAsia="Times New Roman" w:hAnsi="Arial" w:cs="Arial"/>
                <w:color w:val="4C4C4C"/>
                <w:sz w:val="21"/>
                <w:szCs w:val="21"/>
                <w:lang w:eastAsia="es-CL"/>
              </w:rPr>
              <w:t xml:space="preserve">: Baldosa de cemento, </w:t>
            </w:r>
            <w:proofErr w:type="spellStart"/>
            <w:r w:rsidR="007E27BA" w:rsidRPr="007E27BA">
              <w:rPr>
                <w:rFonts w:ascii="Arial" w:eastAsia="Times New Roman" w:hAnsi="Arial" w:cs="Arial"/>
                <w:color w:val="4C4C4C"/>
                <w:sz w:val="21"/>
                <w:szCs w:val="21"/>
                <w:lang w:eastAsia="es-CL"/>
              </w:rPr>
              <w:t>radier</w:t>
            </w:r>
            <w:proofErr w:type="spellEnd"/>
            <w:r w:rsidR="007E27BA" w:rsidRPr="007E27BA">
              <w:rPr>
                <w:rFonts w:ascii="Arial" w:eastAsia="Times New Roman" w:hAnsi="Arial" w:cs="Arial"/>
                <w:color w:val="4C4C4C"/>
                <w:sz w:val="21"/>
                <w:szCs w:val="21"/>
                <w:lang w:eastAsia="es-CL"/>
              </w:rPr>
              <w:t>, enchapado de cemento.</w:t>
            </w:r>
          </w:p>
          <w:p w:rsidR="007E27BA" w:rsidRPr="007E27BA" w:rsidRDefault="00B73504" w:rsidP="007E27BA">
            <w:pPr>
              <w:spacing w:after="0" w:line="240" w:lineRule="auto"/>
              <w:ind w:left="709" w:hanging="284"/>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IRRECUPERABLE</w:t>
            </w:r>
            <w:r w:rsidR="007E27BA" w:rsidRPr="007E27BA">
              <w:rPr>
                <w:rFonts w:ascii="Arial" w:eastAsia="Times New Roman" w:hAnsi="Arial" w:cs="Arial"/>
                <w:color w:val="4C4C4C"/>
                <w:sz w:val="21"/>
                <w:szCs w:val="21"/>
                <w:lang w:eastAsia="es-CL"/>
              </w:rPr>
              <w:t>: Piso de tierra.</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A continuación, se clasificó a las viviendas de acuerdo a un índice, tomando en consideración las categorías de “</w:t>
            </w:r>
            <w:r w:rsidR="00B73504" w:rsidRPr="007E27BA">
              <w:rPr>
                <w:rFonts w:ascii="Arial" w:eastAsia="Times New Roman" w:hAnsi="Arial" w:cs="Arial"/>
                <w:color w:val="4C4C4C"/>
                <w:sz w:val="21"/>
                <w:szCs w:val="21"/>
                <w:lang w:eastAsia="es-CL"/>
              </w:rPr>
              <w:t xml:space="preserve">Aceptable </w:t>
            </w:r>
            <w:proofErr w:type="gramStart"/>
            <w:r w:rsidR="00B73504" w:rsidRPr="007E27BA">
              <w:rPr>
                <w:rFonts w:ascii="Arial" w:eastAsia="Times New Roman" w:hAnsi="Arial" w:cs="Arial"/>
                <w:color w:val="4C4C4C"/>
                <w:sz w:val="21"/>
                <w:szCs w:val="21"/>
                <w:lang w:eastAsia="es-CL"/>
              </w:rPr>
              <w:t>“</w:t>
            </w:r>
            <w:r w:rsidRPr="007E27BA">
              <w:rPr>
                <w:rFonts w:ascii="Arial" w:eastAsia="Times New Roman" w:hAnsi="Arial" w:cs="Arial"/>
                <w:color w:val="4C4C4C"/>
                <w:sz w:val="21"/>
                <w:szCs w:val="21"/>
                <w:lang w:eastAsia="es-CL"/>
              </w:rPr>
              <w:t>,“</w:t>
            </w:r>
            <w:proofErr w:type="gramEnd"/>
            <w:r w:rsidRPr="007E27BA">
              <w:rPr>
                <w:rFonts w:ascii="Arial" w:eastAsia="Times New Roman" w:hAnsi="Arial" w:cs="Arial"/>
                <w:color w:val="4C4C4C"/>
                <w:sz w:val="21"/>
                <w:szCs w:val="21"/>
                <w:lang w:eastAsia="es-CL"/>
              </w:rPr>
              <w:t xml:space="preserve"> Recuperable “e “Irrecuperable“, determinadas de acuerdo a las siguientes condiciones: Categoría aceptable: Materialidad en muros, piso y techo aceptable; Categoría recuperable: Muro recuperable, y un índice aceptable, sea de piso o techo, además de un indicador recuperable y ningún indicador </w:t>
            </w:r>
            <w:r w:rsidRPr="007E27BA">
              <w:rPr>
                <w:rFonts w:ascii="Arial" w:eastAsia="Times New Roman" w:hAnsi="Arial" w:cs="Arial"/>
                <w:color w:val="4C4C4C"/>
                <w:sz w:val="21"/>
                <w:szCs w:val="21"/>
                <w:lang w:eastAsia="es-CL"/>
              </w:rPr>
              <w:lastRenderedPageBreak/>
              <w:t>irrecuperable; Categoría irrecuperable: Al menos un indicador irrecuperable.</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Índice de Hacinamiento: El índice de hacinamiento se realizó considerando la metodología del Ministerio de Desarrollo Social (MDS), el cual estipula el hacinamiento como la razón entre el número de personas residentes en la vivienda y el número de dormitorios de la misma. Este cálculo considera aquellos dormitorios de uso exclusivo o múltiple, y determina las categorías sin hacinamiento, hacinamiento medio y hacinamiento crítico, considerando los siguientes puntajes como referencia:</w:t>
            </w:r>
          </w:p>
          <w:p w:rsidR="007E27BA" w:rsidRPr="007E27BA" w:rsidRDefault="007E27BA" w:rsidP="007E27BA">
            <w:pPr>
              <w:spacing w:after="0" w:line="240" w:lineRule="auto"/>
              <w:rPr>
                <w:rFonts w:ascii="Arial" w:eastAsia="Times New Roman" w:hAnsi="Arial" w:cs="Arial"/>
                <w:color w:val="4C4C4C"/>
                <w:sz w:val="21"/>
                <w:szCs w:val="21"/>
                <w:lang w:eastAsia="es-C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76"/>
              <w:gridCol w:w="2692"/>
            </w:tblGrid>
            <w:tr w:rsidR="007E27BA" w:rsidRPr="007E27BA">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Índice de Hacinamiento (persona/dormitorio)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Categoría de hacinamiento</w:t>
                  </w:r>
                </w:p>
              </w:tc>
            </w:tr>
            <w:tr w:rsidR="007E27BA" w:rsidRPr="007E27BA">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2,4 y menos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Sin hacinamiento</w:t>
                  </w:r>
                </w:p>
              </w:tc>
            </w:tr>
            <w:tr w:rsidR="007E27BA" w:rsidRPr="007E27BA">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2,5 a 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Hacinamiento medio</w:t>
                  </w:r>
                </w:p>
              </w:tc>
            </w:tr>
            <w:tr w:rsidR="007E27BA" w:rsidRPr="007E27BA">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6 y más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Hacinamiento critico</w:t>
                  </w:r>
                </w:p>
              </w:tc>
            </w:tr>
          </w:tbl>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Cálculo del Allegamiento</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El cálculo del allegamiento se establece de manera simple y directa considerando la cantidad de hogares por vivienda.</w:t>
            </w:r>
          </w:p>
          <w:p w:rsidR="007E27BA" w:rsidRPr="007E27BA" w:rsidRDefault="007E27BA" w:rsidP="007E27BA">
            <w:pPr>
              <w:spacing w:after="0" w:line="240" w:lineRule="auto"/>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br/>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Cálculo del índice de materialidad territorial (IMT)</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El índice compuesto de materialidad territorial se calcula con respecto al número de casos, ya sean de personas o viviendas por zona censal, e incluye:</w:t>
            </w:r>
          </w:p>
          <w:p w:rsidR="007E27BA" w:rsidRPr="00B73504" w:rsidRDefault="007E27BA" w:rsidP="00B73504">
            <w:pPr>
              <w:pStyle w:val="Prrafodelista"/>
              <w:numPr>
                <w:ilvl w:val="0"/>
                <w:numId w:val="1"/>
              </w:numPr>
              <w:spacing w:after="0" w:line="240" w:lineRule="auto"/>
              <w:jc w:val="both"/>
              <w:rPr>
                <w:rFonts w:ascii="Arial" w:eastAsia="Times New Roman" w:hAnsi="Arial" w:cs="Arial"/>
                <w:color w:val="4C4C4C"/>
                <w:sz w:val="21"/>
                <w:szCs w:val="21"/>
                <w:lang w:eastAsia="es-CL"/>
              </w:rPr>
            </w:pPr>
            <w:r w:rsidRPr="00B73504">
              <w:rPr>
                <w:rFonts w:ascii="Arial" w:eastAsia="Times New Roman" w:hAnsi="Arial" w:cs="Arial"/>
                <w:color w:val="4C4C4C"/>
                <w:sz w:val="21"/>
                <w:szCs w:val="21"/>
                <w:lang w:eastAsia="es-CL"/>
              </w:rPr>
              <w:t>Puntajes ponderados por nivel de escolaridad del jefe de hogar.</w:t>
            </w:r>
          </w:p>
          <w:p w:rsidR="007E27BA" w:rsidRPr="00B73504" w:rsidRDefault="007E27BA" w:rsidP="00B73504">
            <w:pPr>
              <w:pStyle w:val="Prrafodelista"/>
              <w:numPr>
                <w:ilvl w:val="0"/>
                <w:numId w:val="1"/>
              </w:numPr>
              <w:spacing w:after="0" w:line="240" w:lineRule="auto"/>
              <w:jc w:val="both"/>
              <w:rPr>
                <w:rFonts w:ascii="Arial" w:eastAsia="Times New Roman" w:hAnsi="Arial" w:cs="Arial"/>
                <w:color w:val="4C4C4C"/>
                <w:sz w:val="21"/>
                <w:szCs w:val="21"/>
                <w:lang w:eastAsia="es-CL"/>
              </w:rPr>
            </w:pPr>
            <w:r w:rsidRPr="00B73504">
              <w:rPr>
                <w:rFonts w:ascii="Arial" w:eastAsia="Times New Roman" w:hAnsi="Arial" w:cs="Arial"/>
                <w:color w:val="4C4C4C"/>
                <w:sz w:val="21"/>
                <w:szCs w:val="21"/>
                <w:lang w:eastAsia="es-CL"/>
              </w:rPr>
              <w:t>Puntajes ponderados por categoría de calidad de la vivienda.</w:t>
            </w:r>
          </w:p>
          <w:p w:rsidR="007E27BA" w:rsidRPr="00B73504" w:rsidRDefault="007E27BA" w:rsidP="00B73504">
            <w:pPr>
              <w:pStyle w:val="Prrafodelista"/>
              <w:numPr>
                <w:ilvl w:val="0"/>
                <w:numId w:val="1"/>
              </w:numPr>
              <w:spacing w:after="0" w:line="240" w:lineRule="auto"/>
              <w:jc w:val="both"/>
              <w:rPr>
                <w:rFonts w:ascii="Arial" w:eastAsia="Times New Roman" w:hAnsi="Arial" w:cs="Arial"/>
                <w:color w:val="4C4C4C"/>
                <w:sz w:val="21"/>
                <w:szCs w:val="21"/>
                <w:lang w:eastAsia="es-CL"/>
              </w:rPr>
            </w:pPr>
            <w:r w:rsidRPr="00B73504">
              <w:rPr>
                <w:rFonts w:ascii="Arial" w:eastAsia="Times New Roman" w:hAnsi="Arial" w:cs="Arial"/>
                <w:color w:val="4C4C4C"/>
                <w:sz w:val="21"/>
                <w:szCs w:val="21"/>
                <w:lang w:eastAsia="es-CL"/>
              </w:rPr>
              <w:t>Puntajes ponderados por categoría de hacinamiento. </w:t>
            </w:r>
          </w:p>
          <w:p w:rsidR="007E27BA" w:rsidRPr="00B73504" w:rsidRDefault="007E27BA" w:rsidP="00B73504">
            <w:pPr>
              <w:pStyle w:val="Prrafodelista"/>
              <w:numPr>
                <w:ilvl w:val="0"/>
                <w:numId w:val="1"/>
              </w:numPr>
              <w:spacing w:after="0" w:line="240" w:lineRule="auto"/>
              <w:jc w:val="both"/>
              <w:rPr>
                <w:rFonts w:ascii="Arial" w:eastAsia="Times New Roman" w:hAnsi="Arial" w:cs="Arial"/>
                <w:color w:val="4C4C4C"/>
                <w:sz w:val="21"/>
                <w:szCs w:val="21"/>
                <w:lang w:eastAsia="es-CL"/>
              </w:rPr>
            </w:pPr>
            <w:r w:rsidRPr="00B73504">
              <w:rPr>
                <w:rFonts w:ascii="Arial" w:eastAsia="Times New Roman" w:hAnsi="Arial" w:cs="Arial"/>
                <w:color w:val="4C4C4C"/>
                <w:sz w:val="21"/>
                <w:szCs w:val="21"/>
                <w:lang w:eastAsia="es-CL"/>
              </w:rPr>
              <w:t>Puntajes ponderados por categoría de hacinamiento.</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Cálculo de Escolaridad</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Los puntajes ponderados de los 7 niveles de escolaridad se calcularon considerando el porcentaje de cada nivel dentro de cada zona censal (con respecto al total de casos). Este porcentaje de representación de la variable fue multiplicado por un puntaje de entre 1 (nivel de escolaridad bajo) y 1000 (nivel de escolaridad alto) para cada una de las zonas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El puntaje ponderado de la escolaridad básica se suma a los puntajes ponderados de los demás niveles educacionales para generar una suma ponderada de la escolaridad del jefe de hogar en la zona censal. Este puntaje va de 1 a 1000.</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Cálculo de calidad de la vivienda</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Los puntajes ponderados de las categorías de calidad de la vivienda fueron calculados considerando el porcentaje que cada categoría representaba en cada zona censal. Los porcentajes de representación de estas categorías fueron multiplicados por un puntaje dado de entre 1 y 1000 (1: viviendas irrecuperables y 1000: viviendas aceptables). El resultado de estos puntajes ponderados fue sumado para determinar el índice de calidad de la vivienda para la zona censal estudiada. Este puntaje va de 1 a 1000.</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Cálculo de hacinamiento</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lastRenderedPageBreak/>
              <w:t>Así como en ambos casos anteriores, las tres categorías de hacinamiento fueron calculadas por zona censal, ponderándose puntajes de entre 1 para aquellas viviendas con hacinamiento crítico, y 1000 para aquellas sin hacinamiento. Luego de realizadas las ponderaciones, el puntaje final de hacinamiento va desde 1 a 1000.</w:t>
            </w:r>
          </w:p>
          <w:p w:rsidR="007E27BA" w:rsidRPr="007E27BA" w:rsidRDefault="007E27BA" w:rsidP="007E27BA">
            <w:pPr>
              <w:spacing w:after="0" w:line="240" w:lineRule="auto"/>
              <w:rPr>
                <w:rFonts w:ascii="Arial" w:eastAsia="Times New Roman" w:hAnsi="Arial" w:cs="Arial"/>
                <w:color w:val="4C4C4C"/>
                <w:sz w:val="21"/>
                <w:szCs w:val="21"/>
                <w:lang w:eastAsia="es-CL"/>
              </w:rPr>
            </w:pPr>
          </w:p>
          <w:p w:rsidR="007E27BA" w:rsidRPr="007E27BA" w:rsidRDefault="007E27BA" w:rsidP="007E27BA">
            <w:pPr>
              <w:spacing w:after="0" w:line="240" w:lineRule="auto"/>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Cálculo de Allegamiento</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Así como en ambos casos anteriores, las categorías de allegamiento fueron calculadas por zona censal, ponderándose puntajes de entre 1 para aquellas viviendas con dos núcleos y 1000 para el valor máximo de allegamiento posible por la unidad territorial (ciudad o región) en donde se calcule. </w:t>
            </w: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w:t>
            </w:r>
          </w:p>
          <w:p w:rsidR="007E27BA" w:rsidRPr="007E27BA" w:rsidRDefault="007E27BA" w:rsidP="007E27BA">
            <w:pPr>
              <w:spacing w:after="0" w:line="240" w:lineRule="auto"/>
              <w:jc w:val="both"/>
              <w:rPr>
                <w:rFonts w:ascii="Arial" w:eastAsia="Times New Roman" w:hAnsi="Arial" w:cs="Arial"/>
                <w:b/>
                <w:color w:val="4C4C4C"/>
                <w:sz w:val="21"/>
                <w:szCs w:val="21"/>
                <w:lang w:eastAsia="es-CL"/>
              </w:rPr>
            </w:pPr>
            <w:r w:rsidRPr="007E27BA">
              <w:rPr>
                <w:rFonts w:ascii="Arial" w:eastAsia="Times New Roman" w:hAnsi="Arial" w:cs="Arial"/>
                <w:b/>
                <w:color w:val="4C4C4C"/>
                <w:sz w:val="21"/>
                <w:szCs w:val="21"/>
                <w:lang w:eastAsia="es-CL"/>
              </w:rPr>
              <w:t>Cálculo de puntajes finales</w:t>
            </w:r>
          </w:p>
          <w:p w:rsidR="007E27BA" w:rsidRPr="007E27BA" w:rsidRDefault="007E27BA" w:rsidP="00B73504">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 xml:space="preserve">Para relacionar estas variables y entender la significancia de cada una en sí misma, se realizó cálculo de componentes principales el cual busca el peso de cada una de las variables en función </w:t>
            </w:r>
            <w:r w:rsidR="00B73504">
              <w:rPr>
                <w:rFonts w:ascii="Arial" w:eastAsia="Times New Roman" w:hAnsi="Arial" w:cs="Arial"/>
                <w:color w:val="4C4C4C"/>
                <w:sz w:val="21"/>
                <w:szCs w:val="21"/>
                <w:lang w:eastAsia="es-CL"/>
              </w:rPr>
              <w:t>de la región (cada región tiene su propio PCA) y dentro de cada región se establece la separación entre territorios rurales y urbanos (tomando en consideración la clasificación del INE)</w:t>
            </w:r>
          </w:p>
          <w:p w:rsidR="00B73504" w:rsidRDefault="00B73504" w:rsidP="007E27BA">
            <w:pPr>
              <w:spacing w:after="0" w:line="240" w:lineRule="auto"/>
              <w:rPr>
                <w:rFonts w:ascii="Arial" w:eastAsia="Times New Roman" w:hAnsi="Arial" w:cs="Arial"/>
                <w:color w:val="4C4C4C"/>
                <w:sz w:val="21"/>
                <w:szCs w:val="21"/>
                <w:lang w:eastAsia="es-CL"/>
              </w:rPr>
            </w:pPr>
          </w:p>
          <w:p w:rsidR="007E27BA" w:rsidRP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Luego de finalizada esta prueba mediante el análisis PCA, los puntajes finales fueron ponderados por la discriminación arrojada para generar una nueva suma ponderada de las cuatro variables con sus nuevos pesos.</w:t>
            </w:r>
          </w:p>
          <w:p w:rsidR="007E27BA" w:rsidRPr="007E27BA" w:rsidRDefault="007E27BA" w:rsidP="007E27BA">
            <w:pPr>
              <w:spacing w:after="0" w:line="240" w:lineRule="auto"/>
              <w:rPr>
                <w:rFonts w:ascii="Arial" w:eastAsia="Times New Roman" w:hAnsi="Arial" w:cs="Arial"/>
                <w:color w:val="4C4C4C"/>
                <w:sz w:val="21"/>
                <w:szCs w:val="21"/>
                <w:lang w:eastAsia="es-CL"/>
              </w:rPr>
            </w:pPr>
          </w:p>
          <w:p w:rsidR="007E27BA" w:rsidRDefault="007E27BA" w:rsidP="007E27BA">
            <w:pPr>
              <w:spacing w:after="0" w:line="240" w:lineRule="auto"/>
              <w:jc w:val="both"/>
              <w:rPr>
                <w:rFonts w:ascii="Arial" w:eastAsia="Times New Roman" w:hAnsi="Arial" w:cs="Arial"/>
                <w:color w:val="4C4C4C"/>
                <w:sz w:val="21"/>
                <w:szCs w:val="21"/>
                <w:lang w:eastAsia="es-CL"/>
              </w:rPr>
            </w:pPr>
            <w:r w:rsidRPr="007E27BA">
              <w:rPr>
                <w:rFonts w:ascii="Arial" w:eastAsia="Times New Roman" w:hAnsi="Arial" w:cs="Arial"/>
                <w:color w:val="4C4C4C"/>
                <w:sz w:val="21"/>
                <w:szCs w:val="21"/>
                <w:lang w:eastAsia="es-CL"/>
              </w:rPr>
              <w:t>Los resultados por zona luego fueron normalizados entre 0 y 1 para representar el nuevo índice de materialidad territorial por zona censal.</w:t>
            </w:r>
          </w:p>
          <w:p w:rsidR="00B73504" w:rsidRDefault="00B73504" w:rsidP="007E27BA">
            <w:pPr>
              <w:spacing w:after="0" w:line="240" w:lineRule="auto"/>
              <w:jc w:val="both"/>
              <w:rPr>
                <w:rFonts w:ascii="Arial" w:eastAsia="Times New Roman" w:hAnsi="Arial" w:cs="Arial"/>
                <w:color w:val="4C4C4C"/>
                <w:sz w:val="21"/>
                <w:szCs w:val="21"/>
                <w:lang w:eastAsia="es-CL"/>
              </w:rPr>
            </w:pPr>
          </w:p>
          <w:p w:rsidR="00B73504" w:rsidRDefault="00B73504" w:rsidP="00B73504">
            <w:pPr>
              <w:spacing w:after="0" w:line="240" w:lineRule="auto"/>
              <w:jc w:val="both"/>
              <w:rPr>
                <w:rFonts w:ascii="Arial" w:eastAsia="Times New Roman" w:hAnsi="Arial" w:cs="Arial"/>
                <w:b/>
                <w:color w:val="4C4C4C"/>
                <w:sz w:val="21"/>
                <w:szCs w:val="21"/>
                <w:lang w:eastAsia="es-CL"/>
              </w:rPr>
            </w:pPr>
            <w:r>
              <w:rPr>
                <w:rFonts w:ascii="Arial" w:eastAsia="Times New Roman" w:hAnsi="Arial" w:cs="Arial"/>
                <w:b/>
                <w:color w:val="4C4C4C"/>
                <w:sz w:val="21"/>
                <w:szCs w:val="21"/>
                <w:lang w:eastAsia="es-CL"/>
              </w:rPr>
              <w:t>Clasificación del ISMT</w:t>
            </w:r>
          </w:p>
          <w:p w:rsidR="00B73504" w:rsidRDefault="00241D30" w:rsidP="00B73504">
            <w:p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Una vez obtenido el</w:t>
            </w:r>
            <w:r w:rsidR="00B73504">
              <w:rPr>
                <w:rFonts w:ascii="Arial" w:eastAsia="Times New Roman" w:hAnsi="Arial" w:cs="Arial"/>
                <w:color w:val="4C4C4C"/>
                <w:sz w:val="21"/>
                <w:szCs w:val="21"/>
                <w:lang w:eastAsia="es-CL"/>
              </w:rPr>
              <w:t xml:space="preserve"> puntaje continuo, se procede a clasificar el ISMT a través de la </w:t>
            </w:r>
            <w:proofErr w:type="spellStart"/>
            <w:r w:rsidR="00B73504">
              <w:rPr>
                <w:rFonts w:ascii="Arial" w:eastAsia="Times New Roman" w:hAnsi="Arial" w:cs="Arial"/>
                <w:color w:val="4C4C4C"/>
                <w:sz w:val="21"/>
                <w:szCs w:val="21"/>
                <w:lang w:eastAsia="es-CL"/>
              </w:rPr>
              <w:t>percentilización</w:t>
            </w:r>
            <w:proofErr w:type="spellEnd"/>
            <w:r w:rsidR="00B73504">
              <w:rPr>
                <w:rFonts w:ascii="Arial" w:eastAsia="Times New Roman" w:hAnsi="Arial" w:cs="Arial"/>
                <w:color w:val="4C4C4C"/>
                <w:sz w:val="21"/>
                <w:szCs w:val="21"/>
                <w:lang w:eastAsia="es-CL"/>
              </w:rPr>
              <w:t xml:space="preserve"> del mismo. Este se realiza considerando tres clasificaciones:</w:t>
            </w:r>
          </w:p>
          <w:p w:rsidR="00B73504" w:rsidRDefault="00B73504" w:rsidP="00B73504">
            <w:pPr>
              <w:spacing w:after="0" w:line="240" w:lineRule="auto"/>
              <w:jc w:val="both"/>
              <w:rPr>
                <w:rFonts w:ascii="Arial" w:eastAsia="Times New Roman" w:hAnsi="Arial" w:cs="Arial"/>
                <w:color w:val="4C4C4C"/>
                <w:sz w:val="21"/>
                <w:szCs w:val="21"/>
                <w:lang w:eastAsia="es-CL"/>
              </w:rPr>
            </w:pPr>
          </w:p>
          <w:p w:rsidR="00B73504" w:rsidRDefault="00B73504" w:rsidP="00B73504">
            <w:pPr>
              <w:pStyle w:val="Prrafodelista"/>
              <w:numPr>
                <w:ilvl w:val="0"/>
                <w:numId w:val="2"/>
              </w:numPr>
              <w:spacing w:after="0" w:line="240" w:lineRule="auto"/>
              <w:jc w:val="both"/>
              <w:rPr>
                <w:rFonts w:ascii="Arial" w:eastAsia="Times New Roman" w:hAnsi="Arial" w:cs="Arial"/>
                <w:color w:val="4C4C4C"/>
                <w:sz w:val="21"/>
                <w:szCs w:val="21"/>
                <w:lang w:eastAsia="es-CL"/>
              </w:rPr>
            </w:pPr>
            <w:r w:rsidRPr="00B73504">
              <w:rPr>
                <w:rFonts w:ascii="Arial" w:eastAsia="Times New Roman" w:hAnsi="Arial" w:cs="Arial"/>
                <w:b/>
                <w:color w:val="4C4C4C"/>
                <w:sz w:val="21"/>
                <w:szCs w:val="21"/>
                <w:lang w:eastAsia="es-CL"/>
              </w:rPr>
              <w:t>Quintiles</w:t>
            </w:r>
            <w:r>
              <w:rPr>
                <w:rFonts w:ascii="Arial" w:eastAsia="Times New Roman" w:hAnsi="Arial" w:cs="Arial"/>
                <w:color w:val="4C4C4C"/>
                <w:sz w:val="21"/>
                <w:szCs w:val="21"/>
                <w:lang w:eastAsia="es-CL"/>
              </w:rPr>
              <w:t>: se clasifica en 5 categorías con igual porcentaje de hogares para cada uno en función de la distribución del puntaje continuo del ISMT</w:t>
            </w:r>
          </w:p>
          <w:p w:rsidR="00B73504" w:rsidRDefault="00B73504" w:rsidP="00241D30">
            <w:pPr>
              <w:pStyle w:val="Prrafodelista"/>
              <w:numPr>
                <w:ilvl w:val="0"/>
                <w:numId w:val="2"/>
              </w:numPr>
              <w:spacing w:after="0" w:line="240" w:lineRule="auto"/>
              <w:jc w:val="both"/>
              <w:rPr>
                <w:rFonts w:ascii="Arial" w:eastAsia="Times New Roman" w:hAnsi="Arial" w:cs="Arial"/>
                <w:color w:val="4C4C4C"/>
                <w:sz w:val="21"/>
                <w:szCs w:val="21"/>
                <w:lang w:eastAsia="es-CL"/>
              </w:rPr>
            </w:pPr>
            <w:r>
              <w:rPr>
                <w:rFonts w:ascii="Arial" w:eastAsia="Times New Roman" w:hAnsi="Arial" w:cs="Arial"/>
                <w:b/>
                <w:color w:val="4C4C4C"/>
                <w:sz w:val="21"/>
                <w:szCs w:val="21"/>
                <w:lang w:eastAsia="es-CL"/>
              </w:rPr>
              <w:t xml:space="preserve">NSE: </w:t>
            </w:r>
            <w:r>
              <w:rPr>
                <w:rFonts w:ascii="Arial" w:eastAsia="Times New Roman" w:hAnsi="Arial" w:cs="Arial"/>
                <w:color w:val="4C4C4C"/>
                <w:sz w:val="21"/>
                <w:szCs w:val="21"/>
                <w:lang w:eastAsia="es-CL"/>
              </w:rPr>
              <w:t>se clasifica tomando los percentiles y cortes definidos por AIM</w:t>
            </w:r>
            <w:r w:rsidR="00241D30">
              <w:rPr>
                <w:rFonts w:ascii="Arial" w:eastAsia="Times New Roman" w:hAnsi="Arial" w:cs="Arial"/>
                <w:color w:val="4C4C4C"/>
                <w:sz w:val="21"/>
                <w:szCs w:val="21"/>
                <w:lang w:eastAsia="es-CL"/>
              </w:rPr>
              <w:t xml:space="preserve"> y </w:t>
            </w:r>
            <w:proofErr w:type="spellStart"/>
            <w:r w:rsidR="00241D30">
              <w:rPr>
                <w:rFonts w:ascii="Arial" w:eastAsia="Times New Roman" w:hAnsi="Arial" w:cs="Arial"/>
                <w:color w:val="4C4C4C"/>
                <w:sz w:val="21"/>
                <w:szCs w:val="21"/>
                <w:lang w:eastAsia="es-CL"/>
              </w:rPr>
              <w:t>Criteria</w:t>
            </w:r>
            <w:proofErr w:type="spellEnd"/>
            <w:r w:rsidR="00241D30">
              <w:rPr>
                <w:rFonts w:ascii="Arial" w:eastAsia="Times New Roman" w:hAnsi="Arial" w:cs="Arial"/>
                <w:color w:val="4C4C4C"/>
                <w:sz w:val="21"/>
                <w:szCs w:val="21"/>
                <w:lang w:eastAsia="es-CL"/>
              </w:rPr>
              <w:t xml:space="preserve"> (</w:t>
            </w:r>
            <w:r w:rsidR="00241D30" w:rsidRPr="00241D30">
              <w:rPr>
                <w:rFonts w:ascii="Arial" w:eastAsia="Times New Roman" w:hAnsi="Arial" w:cs="Arial"/>
                <w:color w:val="4C4C4C"/>
                <w:sz w:val="21"/>
                <w:szCs w:val="21"/>
                <w:lang w:eastAsia="es-CL"/>
              </w:rPr>
              <w:t>https://www.criteria.cl/nuevo-gse-aim/</w:t>
            </w:r>
            <w:r w:rsidR="00241D30">
              <w:rPr>
                <w:rFonts w:ascii="Arial" w:eastAsia="Times New Roman" w:hAnsi="Arial" w:cs="Arial"/>
                <w:color w:val="4C4C4C"/>
                <w:sz w:val="21"/>
                <w:szCs w:val="21"/>
                <w:lang w:eastAsia="es-CL"/>
              </w:rPr>
              <w:t>)</w:t>
            </w:r>
            <w:r>
              <w:rPr>
                <w:rFonts w:ascii="Arial" w:eastAsia="Times New Roman" w:hAnsi="Arial" w:cs="Arial"/>
                <w:color w:val="4C4C4C"/>
                <w:sz w:val="21"/>
                <w:szCs w:val="21"/>
                <w:lang w:eastAsia="es-CL"/>
              </w:rPr>
              <w:t xml:space="preserve"> para el año 2021, tomando las diferencias regionales establecidas por el estudio </w:t>
            </w:r>
          </w:p>
          <w:p w:rsidR="00241D30" w:rsidRDefault="00241D30" w:rsidP="00241D30">
            <w:pPr>
              <w:pStyle w:val="Prrafodelista"/>
              <w:numPr>
                <w:ilvl w:val="0"/>
                <w:numId w:val="2"/>
              </w:numPr>
              <w:spacing w:after="0" w:line="240" w:lineRule="auto"/>
              <w:jc w:val="both"/>
              <w:rPr>
                <w:rFonts w:ascii="Arial" w:eastAsia="Times New Roman" w:hAnsi="Arial" w:cs="Arial"/>
                <w:color w:val="4C4C4C"/>
                <w:sz w:val="21"/>
                <w:szCs w:val="21"/>
                <w:lang w:eastAsia="es-CL"/>
              </w:rPr>
            </w:pPr>
          </w:p>
          <w:tbl>
            <w:tblPr>
              <w:tblW w:w="9600" w:type="dxa"/>
              <w:tblCellMar>
                <w:left w:w="70" w:type="dxa"/>
                <w:right w:w="70" w:type="dxa"/>
              </w:tblCellMar>
              <w:tblLook w:val="04A0" w:firstRow="1" w:lastRow="0" w:firstColumn="1" w:lastColumn="0" w:noHBand="0" w:noVBand="1"/>
            </w:tblPr>
            <w:tblGrid>
              <w:gridCol w:w="873"/>
              <w:gridCol w:w="873"/>
              <w:gridCol w:w="873"/>
              <w:gridCol w:w="873"/>
              <w:gridCol w:w="874"/>
              <w:gridCol w:w="874"/>
              <w:gridCol w:w="874"/>
              <w:gridCol w:w="874"/>
            </w:tblGrid>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Pr>
                      <w:rFonts w:ascii="Calibri" w:eastAsia="Times New Roman" w:hAnsi="Calibri" w:cs="Calibri"/>
                      <w:b/>
                      <w:bCs/>
                      <w:color w:val="000000"/>
                      <w:lang w:eastAsia="es-CL"/>
                    </w:rPr>
                    <w:t>R</w:t>
                  </w:r>
                  <w:r w:rsidRPr="00241D30">
                    <w:rPr>
                      <w:rFonts w:ascii="Calibri" w:eastAsia="Times New Roman" w:hAnsi="Calibri" w:cs="Calibri"/>
                      <w:b/>
                      <w:bCs/>
                      <w:color w:val="000000"/>
                      <w:lang w:eastAsia="es-CL"/>
                    </w:rPr>
                    <w:t>egión</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ab</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c1a</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c1b</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c2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c3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d</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e</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13.7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30</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33.2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8.3</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19.5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33.8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25.4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12.7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33.1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34.7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7.6</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9.8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24.9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14.7</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12.1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26.8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37.1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11.1</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9.9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23.7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41.7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16.5</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19.8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44.5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21.5</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9.4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21.9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16.7</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18.8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22.5</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10</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8.9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21.5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44.6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15.6</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lastRenderedPageBreak/>
                    <w:t>11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12.8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27.8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7.1</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8.4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17.2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34.8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3.9</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8.1</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13.7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27.2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30.6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7.8</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8.6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21.4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41.7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17.9</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11.7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29.2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38.3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9.7</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16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0.3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7.4</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19</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42.5</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23.7</w:t>
                  </w:r>
                </w:p>
              </w:tc>
            </w:tr>
            <w:tr w:rsidR="00241D30" w:rsidRPr="00241D30" w:rsidTr="00241D30">
              <w:trPr>
                <w:trHeight w:val="300"/>
              </w:trPr>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b/>
                      <w:bCs/>
                      <w:color w:val="000000"/>
                      <w:lang w:eastAsia="es-CL"/>
                    </w:rPr>
                  </w:pPr>
                  <w:r w:rsidRPr="00241D30">
                    <w:rPr>
                      <w:rFonts w:ascii="Calibri" w:eastAsia="Times New Roman" w:hAnsi="Calibri" w:cs="Calibri"/>
                      <w:b/>
                      <w:bCs/>
                      <w:color w:val="000000"/>
                      <w:lang w:eastAsia="es-CL"/>
                    </w:rPr>
                    <w:t>Chile</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1.8</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6.3</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11.2</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24.7</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36</w:t>
                  </w:r>
                </w:p>
              </w:tc>
              <w:tc>
                <w:tcPr>
                  <w:tcW w:w="1200" w:type="dxa"/>
                  <w:tcBorders>
                    <w:top w:val="nil"/>
                    <w:left w:val="nil"/>
                    <w:bottom w:val="nil"/>
                    <w:right w:val="nil"/>
                  </w:tcBorders>
                  <w:shd w:val="clear" w:color="auto" w:fill="auto"/>
                  <w:noWrap/>
                  <w:vAlign w:val="bottom"/>
                  <w:hideMark/>
                </w:tcPr>
                <w:p w:rsidR="00241D30" w:rsidRPr="00241D30" w:rsidRDefault="00241D30" w:rsidP="00241D30">
                  <w:pPr>
                    <w:spacing w:after="0" w:line="240" w:lineRule="auto"/>
                    <w:jc w:val="center"/>
                    <w:rPr>
                      <w:rFonts w:ascii="Calibri" w:eastAsia="Times New Roman" w:hAnsi="Calibri" w:cs="Calibri"/>
                      <w:color w:val="000000"/>
                      <w:lang w:eastAsia="es-CL"/>
                    </w:rPr>
                  </w:pPr>
                  <w:r w:rsidRPr="00241D30">
                    <w:rPr>
                      <w:rFonts w:ascii="Calibri" w:eastAsia="Times New Roman" w:hAnsi="Calibri" w:cs="Calibri"/>
                      <w:color w:val="000000"/>
                      <w:lang w:eastAsia="es-CL"/>
                    </w:rPr>
                    <w:t>14</w:t>
                  </w:r>
                </w:p>
              </w:tc>
            </w:tr>
          </w:tbl>
          <w:p w:rsidR="00241D30" w:rsidRDefault="00241D30" w:rsidP="00241D30">
            <w:pPr>
              <w:spacing w:after="0" w:line="240" w:lineRule="auto"/>
              <w:ind w:left="360"/>
              <w:jc w:val="both"/>
              <w:rPr>
                <w:rFonts w:ascii="Arial" w:eastAsia="Times New Roman" w:hAnsi="Arial" w:cs="Arial"/>
                <w:color w:val="4C4C4C"/>
                <w:sz w:val="21"/>
                <w:szCs w:val="21"/>
                <w:lang w:eastAsia="es-CL"/>
              </w:rPr>
            </w:pPr>
          </w:p>
          <w:p w:rsidR="00241D30" w:rsidRDefault="00241D30" w:rsidP="00241D30">
            <w:pPr>
              <w:spacing w:after="0" w:line="240" w:lineRule="auto"/>
              <w:ind w:left="360"/>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 xml:space="preserve">La última clasificación que se toma en consideración en Alto, Medio y Bajo que es una agrupación de: </w:t>
            </w:r>
          </w:p>
          <w:p w:rsidR="00241D30" w:rsidRDefault="00241D30" w:rsidP="00241D30">
            <w:pPr>
              <w:spacing w:after="0" w:line="240" w:lineRule="auto"/>
              <w:ind w:left="360"/>
              <w:jc w:val="both"/>
              <w:rPr>
                <w:rFonts w:ascii="Arial" w:eastAsia="Times New Roman" w:hAnsi="Arial" w:cs="Arial"/>
                <w:color w:val="4C4C4C"/>
                <w:sz w:val="21"/>
                <w:szCs w:val="21"/>
                <w:lang w:eastAsia="es-CL"/>
              </w:rPr>
            </w:pPr>
          </w:p>
          <w:p w:rsidR="00241D30" w:rsidRDefault="00241D30" w:rsidP="00241D30">
            <w:pPr>
              <w:pStyle w:val="Prrafodelista"/>
              <w:numPr>
                <w:ilvl w:val="0"/>
                <w:numId w:val="3"/>
              </w:num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Alto: ABC1</w:t>
            </w:r>
          </w:p>
          <w:p w:rsidR="00241D30" w:rsidRDefault="00241D30" w:rsidP="00241D30">
            <w:pPr>
              <w:pStyle w:val="Prrafodelista"/>
              <w:numPr>
                <w:ilvl w:val="0"/>
                <w:numId w:val="3"/>
              </w:num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Medio: C2 + C3</w:t>
            </w:r>
          </w:p>
          <w:p w:rsidR="00241D30" w:rsidRPr="00241D30" w:rsidRDefault="00241D30" w:rsidP="00241D30">
            <w:pPr>
              <w:pStyle w:val="Prrafodelista"/>
              <w:numPr>
                <w:ilvl w:val="0"/>
                <w:numId w:val="3"/>
              </w:num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Bajo: D y E</w:t>
            </w:r>
          </w:p>
          <w:p w:rsidR="00B73504" w:rsidRDefault="00B73504" w:rsidP="007E27BA">
            <w:pPr>
              <w:spacing w:after="0" w:line="240" w:lineRule="auto"/>
              <w:jc w:val="both"/>
              <w:rPr>
                <w:rFonts w:ascii="Arial" w:eastAsia="Times New Roman" w:hAnsi="Arial" w:cs="Arial"/>
                <w:color w:val="4C4C4C"/>
                <w:sz w:val="21"/>
                <w:szCs w:val="21"/>
                <w:lang w:eastAsia="es-CL"/>
              </w:rPr>
            </w:pPr>
          </w:p>
          <w:p w:rsidR="00241D30" w:rsidRDefault="00241D30" w:rsidP="007E27BA">
            <w:pPr>
              <w:spacing w:after="0" w:line="240" w:lineRule="auto"/>
              <w:jc w:val="both"/>
              <w:rPr>
                <w:rFonts w:ascii="Arial" w:eastAsia="Times New Roman" w:hAnsi="Arial" w:cs="Arial"/>
                <w:color w:val="4C4C4C"/>
                <w:sz w:val="21"/>
                <w:szCs w:val="21"/>
                <w:lang w:eastAsia="es-CL"/>
              </w:rPr>
            </w:pPr>
            <w:r>
              <w:rPr>
                <w:rFonts w:ascii="Arial" w:eastAsia="Times New Roman" w:hAnsi="Arial" w:cs="Arial"/>
                <w:color w:val="4C4C4C"/>
                <w:sz w:val="21"/>
                <w:szCs w:val="21"/>
                <w:lang w:eastAsia="es-CL"/>
              </w:rPr>
              <w:t xml:space="preserve">El resultado del ISMT, contiene, además, cada una de sus variables constitutivas como resultados de indicador continuo y segmentado por las categorías señaladas en la metodología. </w:t>
            </w:r>
          </w:p>
          <w:p w:rsidR="00241D30" w:rsidRPr="007E27BA" w:rsidRDefault="00241D30" w:rsidP="007E27BA">
            <w:pPr>
              <w:spacing w:after="0" w:line="240" w:lineRule="auto"/>
              <w:jc w:val="both"/>
              <w:rPr>
                <w:rFonts w:ascii="Arial" w:eastAsia="Times New Roman" w:hAnsi="Arial" w:cs="Arial"/>
                <w:color w:val="4C4C4C"/>
                <w:sz w:val="21"/>
                <w:szCs w:val="21"/>
                <w:lang w:eastAsia="es-CL"/>
              </w:rPr>
            </w:pPr>
          </w:p>
        </w:tc>
      </w:tr>
    </w:tbl>
    <w:p w:rsidR="00A3203B" w:rsidRDefault="00241D30"/>
    <w:sectPr w:rsidR="00A32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433"/>
    <w:multiLevelType w:val="hybridMultilevel"/>
    <w:tmpl w:val="556A19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265878"/>
    <w:multiLevelType w:val="hybridMultilevel"/>
    <w:tmpl w:val="99BE74D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36231236"/>
    <w:multiLevelType w:val="hybridMultilevel"/>
    <w:tmpl w:val="B6487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BA"/>
    <w:rsid w:val="00241D30"/>
    <w:rsid w:val="0025236A"/>
    <w:rsid w:val="003F6E87"/>
    <w:rsid w:val="007E27BA"/>
    <w:rsid w:val="00B735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07BA"/>
  <w15:chartTrackingRefBased/>
  <w15:docId w15:val="{3E4B2AA6-C2DE-41D3-9C2A-35227953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27BA"/>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B7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7246">
      <w:bodyDiv w:val="1"/>
      <w:marLeft w:val="0"/>
      <w:marRight w:val="0"/>
      <w:marTop w:val="0"/>
      <w:marBottom w:val="0"/>
      <w:divBdr>
        <w:top w:val="none" w:sz="0" w:space="0" w:color="auto"/>
        <w:left w:val="none" w:sz="0" w:space="0" w:color="auto"/>
        <w:bottom w:val="none" w:sz="0" w:space="0" w:color="auto"/>
        <w:right w:val="none" w:sz="0" w:space="0" w:color="auto"/>
      </w:divBdr>
    </w:div>
    <w:div w:id="457794339">
      <w:bodyDiv w:val="1"/>
      <w:marLeft w:val="0"/>
      <w:marRight w:val="0"/>
      <w:marTop w:val="0"/>
      <w:marBottom w:val="0"/>
      <w:divBdr>
        <w:top w:val="none" w:sz="0" w:space="0" w:color="auto"/>
        <w:left w:val="none" w:sz="0" w:space="0" w:color="auto"/>
        <w:bottom w:val="none" w:sz="0" w:space="0" w:color="auto"/>
        <w:right w:val="none" w:sz="0" w:space="0" w:color="auto"/>
      </w:divBdr>
      <w:divsChild>
        <w:div w:id="1052576115">
          <w:marLeft w:val="-108"/>
          <w:marRight w:val="0"/>
          <w:marTop w:val="0"/>
          <w:marBottom w:val="0"/>
          <w:divBdr>
            <w:top w:val="none" w:sz="0" w:space="0" w:color="auto"/>
            <w:left w:val="none" w:sz="0" w:space="0" w:color="auto"/>
            <w:bottom w:val="none" w:sz="0" w:space="0" w:color="auto"/>
            <w:right w:val="none" w:sz="0" w:space="0" w:color="auto"/>
          </w:divBdr>
        </w:div>
      </w:divsChild>
    </w:div>
    <w:div w:id="1016885663">
      <w:bodyDiv w:val="1"/>
      <w:marLeft w:val="0"/>
      <w:marRight w:val="0"/>
      <w:marTop w:val="0"/>
      <w:marBottom w:val="0"/>
      <w:divBdr>
        <w:top w:val="none" w:sz="0" w:space="0" w:color="auto"/>
        <w:left w:val="none" w:sz="0" w:space="0" w:color="auto"/>
        <w:bottom w:val="none" w:sz="0" w:space="0" w:color="auto"/>
        <w:right w:val="none" w:sz="0" w:space="0" w:color="auto"/>
      </w:divBdr>
    </w:div>
    <w:div w:id="10972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1626</Words>
  <Characters>8947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Truffello</dc:creator>
  <cp:keywords/>
  <dc:description/>
  <cp:lastModifiedBy>Ricardo Truffello</cp:lastModifiedBy>
  <cp:revision>1</cp:revision>
  <dcterms:created xsi:type="dcterms:W3CDTF">2022-12-27T15:17:00Z</dcterms:created>
  <dcterms:modified xsi:type="dcterms:W3CDTF">2022-12-27T15:48:00Z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9e411ac3-b939-4502-a617-f152611eba17</vt:lpwstr>
  </property>
</Properties>
</file>