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Pruebas de Software</w:t>
      </w:r>
    </w:p>
    <w:p>
      <w:pPr>
        <w:jc w:val="center"/>
      </w:pPr>
      <w:r>
        <w:t>Proyecto: Sistema de Gestión - 13va Jornada Académica y Cultural</w:t>
      </w:r>
    </w:p>
    <w:p>
      <w:pPr>
        <w:pStyle w:val="Heading1"/>
      </w:pPr>
      <w:r>
        <w:t>1. Objetivo de las Pruebas</w:t>
      </w:r>
    </w:p>
    <w:p>
      <w:r>
        <w:t>Garantizar la calidad, integridad y correcto funcionamiento de la plataforma administrativa de la 13va Jornada Académica. El enfoque principal es la detección temprana de fallos mediante procesos de Verificación (cumplimiento técnico) y Validación (satisfacción de necesidades del usuario), asegurando que cada requisito funcional sea una evidencia verificable.</w:t>
      </w:r>
    </w:p>
    <w:p>
      <w:pPr>
        <w:pStyle w:val="Heading1"/>
      </w:pPr>
      <w:r>
        <w:t>2. Alcance del Plan de Pruebas</w:t>
      </w:r>
    </w:p>
    <w:p>
      <w:r>
        <w:t>El alcance abarca los módulos críticos del backend (Go) y frontend (React), específicamente: Gestión de Ponentes, Asignación de Recintos, Registro de Alumnos y Generación de Material de Papelería en PDF.</w:t>
      </w:r>
    </w:p>
    <w:p>
      <w:pPr>
        <w:pStyle w:val="Heading1"/>
      </w:pPr>
      <w:r>
        <w:t>3. Módulos o Funcionalidades a Evaluar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Módulo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Ponentes</w:t>
            </w:r>
          </w:p>
        </w:tc>
        <w:tc>
          <w:tcPr>
            <w:tcW w:type="dxa" w:w="4320"/>
          </w:tcPr>
          <w:p>
            <w:r>
              <w:t>Gestión de perfiles, fotos y carga de logos institucionales.</w:t>
            </w:r>
          </w:p>
        </w:tc>
      </w:tr>
      <w:tr>
        <w:tc>
          <w:tcPr>
            <w:tcW w:type="dxa" w:w="4320"/>
          </w:tcPr>
          <w:p>
            <w:r>
              <w:t>Recintos</w:t>
            </w:r>
          </w:p>
        </w:tc>
        <w:tc>
          <w:tcPr>
            <w:tcW w:type="dxa" w:w="4320"/>
          </w:tcPr>
          <w:p>
            <w:r>
              <w:t>Asignación inmediata de espacios físicos y visualización de detalles.</w:t>
            </w:r>
          </w:p>
        </w:tc>
      </w:tr>
      <w:tr>
        <w:tc>
          <w:tcPr>
            <w:tcW w:type="dxa" w:w="4320"/>
          </w:tcPr>
          <w:p>
            <w:r>
              <w:t>Alumnos</w:t>
            </w:r>
          </w:p>
        </w:tc>
        <w:tc>
          <w:tcPr>
            <w:tcW w:type="dxa" w:w="4320"/>
          </w:tcPr>
          <w:p>
            <w:r>
              <w:t>Control de padrón, vinculación de cuentas y búsqueda por matrícula.</w:t>
            </w:r>
          </w:p>
        </w:tc>
      </w:tr>
      <w:tr>
        <w:tc>
          <w:tcPr>
            <w:tcW w:type="dxa" w:w="4320"/>
          </w:tcPr>
          <w:p>
            <w:r>
              <w:t>Papelería</w:t>
            </w:r>
          </w:p>
        </w:tc>
        <w:tc>
          <w:tcPr>
            <w:tcW w:type="dxa" w:w="4320"/>
          </w:tcPr>
          <w:p>
            <w:r>
              <w:t>Generación dinámica de PDFs (Panfletos, Portanombres, Etiquetas).</w:t>
            </w:r>
          </w:p>
        </w:tc>
      </w:tr>
    </w:tbl>
    <w:p>
      <w:pPr>
        <w:pStyle w:val="Heading1"/>
      </w:pPr>
      <w:r>
        <w:t>4. Casos de Prueba</w:t>
      </w:r>
    </w:p>
    <w:p>
      <w:r>
        <w:t>Se aplican estrategias de Caja Negra para validación funcional y de usabilidad.</w:t>
      </w:r>
    </w:p>
    <w:p>
      <w:pPr>
        <w:pStyle w:val="Heading2"/>
      </w:pPr>
      <w:r>
        <w:t>CP-REC-01: Registro inmediato de Recinto</w:t>
      </w:r>
    </w:p>
    <w:p>
      <w:r>
        <w:t>Descripción: Validar que al seleccionar un recinto en el combobox, el cambio se registre automáticamente en la BD.</w:t>
      </w:r>
    </w:p>
    <w:p>
      <w:r>
        <w:t>Entradas: Selección de 'Auditorio Principal' en el menú desplegable de un ponente en modo edición.</w:t>
      </w:r>
    </w:p>
    <w:p>
      <w:r>
        <w:t>Procedimiento:</w:t>
      </w:r>
    </w:p>
    <w:p>
      <w:r>
        <w:t>1. Iniciar sesión como Administrador.</w:t>
        <w:br/>
        <w:t>2. Ir a Ponentes &gt; Editar.</w:t>
        <w:br/>
        <w:t>3. Cambiar el valor del Combobox 'Recinto'.</w:t>
        <w:br/>
        <w:t>4. Verificar llamada a la API (PUT /speakers/:id).</w:t>
      </w:r>
    </w:p>
    <w:p>
      <w:r>
        <w:t>Resultado Esperado: El recinto se actualiza en la base de datos sin necesidad de guardar manualmente el formulario.</w:t>
      </w:r>
    </w:p>
    <w:p>
      <w:pPr>
        <w:pStyle w:val="Heading2"/>
      </w:pPr>
      <w:r>
        <w:t>CP-ALU-02: Registro de Alumno (Caso Negativo)</w:t>
      </w:r>
    </w:p>
    <w:p>
      <w:r>
        <w:t>Descripción: Validar el manejo de matrículas duplicadas.</w:t>
      </w:r>
    </w:p>
    <w:p>
      <w:r>
        <w:t>Entradas: Datos de alumno con una matrícula ya existente en el sistema.</w:t>
      </w:r>
    </w:p>
    <w:p>
      <w:r>
        <w:t>Procedimiento:</w:t>
      </w:r>
    </w:p>
    <w:p>
      <w:r>
        <w:t>1. Ir a Gestión de Alumnos.</w:t>
        <w:br/>
        <w:t>2. Clic en 'Registrar Alumno'.</w:t>
        <w:br/>
        <w:t>3. Ingresar una matrícula existente.</w:t>
        <w:br/>
        <w:t>4. Intentar guardar.</w:t>
      </w:r>
    </w:p>
    <w:p>
      <w:r>
        <w:t>Resultado Esperado: El sistema debe mostrar un mensaje de error claro indicando que la matrícula ya está registrada.</w:t>
      </w:r>
    </w:p>
    <w:p>
      <w:pPr>
        <w:pStyle w:val="Heading1"/>
      </w:pPr>
      <w:r>
        <w:t>5. Datos de Prueba</w:t>
      </w:r>
    </w:p>
    <w:p>
      <w:r>
        <w:t>- Matrículas reales (ej. 22090001) y ficticias.</w:t>
        <w:br/>
        <w:t>- Imágenes en formato .jpg y .png para perfiles.</w:t>
        <w:br/>
        <w:t>- Nombres con caracteres especiales (acentos/eñes).</w:t>
      </w:r>
    </w:p>
    <w:p>
      <w:pPr>
        <w:pStyle w:val="Heading1"/>
      </w:pPr>
      <w:r>
        <w:t>6. Criterios de Aceptación</w:t>
      </w:r>
    </w:p>
    <w:p>
      <w:r>
        <w:t>- 100% de los casos positivos ejecutados con éxito.</w:t>
        <w:br/>
        <w:t>- Los PDFs generados deben ser legibles y con los colores institucionales (#80ba26).</w:t>
        <w:br/>
        <w:t>- El tiempo de respuesta de la API no debe exceder los 2 segundos.</w:t>
      </w:r>
    </w:p>
    <w:p>
      <w:pPr>
        <w:pStyle w:val="Heading1"/>
      </w:pPr>
      <w:r>
        <w:t>7. Riesgos Detectados</w:t>
      </w:r>
    </w:p>
    <w:p>
      <w:r>
        <w:t>- Pérdida de integridad de datos por concurrencia.</w:t>
        <w:br/>
        <w:t>- Incompatibilidad de fuentes OTF en visores de PDF antiguos (Mitigado usando Helvetica).</w:t>
      </w:r>
    </w:p>
    <w:p>
      <w:pPr>
        <w:pStyle w:val="Heading1"/>
      </w:pPr>
      <w:r>
        <w:t>8. Cronograma de Actividades</w:t>
      </w:r>
    </w:p>
    <w:p>
      <w:r>
        <w:t>- Fase 1: Definición y Especificaciones (Día 1).</w:t>
        <w:br/>
        <w:t>- Fase 2: Desarrollo de Reactivos (Día 2).</w:t>
        <w:br/>
        <w:t>- Fase 3: Ejecución y Piloteo (Día 3).</w:t>
        <w:br/>
        <w:t>- Fase 4: Análisis de Resultados (Día 4).</w:t>
      </w:r>
    </w:p>
    <w:p>
      <w:pPr>
        <w:pStyle w:val="Heading1"/>
      </w:pPr>
      <w:r>
        <w:t>9. Recursos Necesarios</w:t>
      </w:r>
    </w:p>
    <w:p>
      <w:r>
        <w:t>- Entorno de desarrollo local (Frontend React / Backend Go).</w:t>
        <w:br/>
        <w:t>- Navegador Chrome/Firefox última versión.</w:t>
        <w:br/>
        <w:t>- Base de Datos 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