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A7E3D" w14:textId="77777777" w:rsidR="001D4D13" w:rsidRDefault="001D4D13"/>
    <w:tbl>
      <w:tblPr>
        <w:tblW w:w="9030" w:type="dxa"/>
        <w:tblLayout w:type="fixed"/>
        <w:tblCellMar>
          <w:top w:w="160" w:type="dxa"/>
          <w:left w:w="0" w:type="dxa"/>
          <w:bottom w:w="160" w:type="dxa"/>
          <w:right w:w="240" w:type="dxa"/>
        </w:tblCellMar>
        <w:tblLook w:val="0600" w:firstRow="0" w:lastRow="0" w:firstColumn="0" w:lastColumn="0" w:noHBand="1" w:noVBand="1"/>
      </w:tblPr>
      <w:tblGrid>
        <w:gridCol w:w="1935"/>
        <w:gridCol w:w="1080"/>
        <w:gridCol w:w="1230"/>
        <w:gridCol w:w="3194"/>
        <w:gridCol w:w="1591"/>
      </w:tblGrid>
      <w:tr w:rsidR="001D4D13" w14:paraId="538C4585"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19C9DB3B"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Criterio (puntaje máx.)</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6FEC1DA7" w14:textId="77777777" w:rsidR="001D4D13" w:rsidRDefault="00000000">
            <w:pPr>
              <w:spacing w:line="240" w:lineRule="auto"/>
              <w:ind w:left="-190" w:right="-250"/>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Pts máx.</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03A8AD9" w14:textId="77777777" w:rsidR="001D4D13" w:rsidRDefault="00000000">
            <w:pPr>
              <w:spacing w:line="240" w:lineRule="auto"/>
              <w:ind w:left="-141" w:right="-180"/>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Nivel (E/B/R/D)</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0ED9859"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Evidencia (ubicación)</w:t>
            </w:r>
          </w:p>
        </w:tc>
        <w:tc>
          <w:tcPr>
            <w:tcW w:w="1591" w:type="dxa"/>
            <w:tcBorders>
              <w:top w:val="single" w:sz="8" w:space="0" w:color="0F1115"/>
              <w:left w:val="single" w:sz="8" w:space="0" w:color="0F1115"/>
              <w:bottom w:val="single" w:sz="8" w:space="0" w:color="0F1115"/>
              <w:right w:val="single" w:sz="8" w:space="0" w:color="0F1115"/>
            </w:tcBorders>
            <w:tcMar>
              <w:left w:w="240" w:type="dxa"/>
            </w:tcMar>
          </w:tcPr>
          <w:p w14:paraId="65FA6F4A"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Pts estimados</w:t>
            </w:r>
          </w:p>
        </w:tc>
      </w:tr>
      <w:tr w:rsidR="001D4D13" w14:paraId="709AF904"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4753DEC6"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Datos sintéticos reproducibles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77963B80"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9759B14"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0FCB3898"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generar_datos.py</w:t>
            </w:r>
            <w:r>
              <w:rPr>
                <w:rFonts w:ascii="Times New Roman" w:eastAsia="Times New Roman" w:hAnsi="Times New Roman" w:cs="Times New Roman"/>
                <w:color w:val="0F1115"/>
                <w:sz w:val="24"/>
                <w:szCs w:val="24"/>
                <w:highlight w:val="white"/>
              </w:rPr>
              <w:t xml:space="preserve"> (líneas 21-24: semillas fijas; funciones </w:t>
            </w:r>
            <w:r>
              <w:rPr>
                <w:rFonts w:ascii="Times New Roman" w:eastAsia="Times New Roman" w:hAnsi="Times New Roman" w:cs="Times New Roman"/>
                <w:color w:val="0F1115"/>
                <w:sz w:val="24"/>
                <w:szCs w:val="24"/>
              </w:rPr>
              <w:t>insertar_faltantes()</w:t>
            </w:r>
            <w:r>
              <w:rPr>
                <w:rFonts w:ascii="Times New Roman" w:eastAsia="Times New Roman" w:hAnsi="Times New Roman" w:cs="Times New Roman"/>
                <w:color w:val="0F1115"/>
                <w:sz w:val="24"/>
                <w:szCs w:val="24"/>
                <w:highlight w:val="white"/>
              </w:rPr>
              <w:t xml:space="preserve"> y </w:t>
            </w:r>
            <w:r>
              <w:rPr>
                <w:rFonts w:ascii="Times New Roman" w:eastAsia="Times New Roman" w:hAnsi="Times New Roman" w:cs="Times New Roman"/>
                <w:color w:val="0F1115"/>
                <w:sz w:val="24"/>
                <w:szCs w:val="24"/>
              </w:rPr>
              <w:t>insertar_outliers()</w:t>
            </w:r>
            <w:r>
              <w:rPr>
                <w:rFonts w:ascii="Times New Roman" w:eastAsia="Times New Roman" w:hAnsi="Times New Roman" w:cs="Times New Roman"/>
                <w:color w:val="0F1115"/>
                <w:sz w:val="24"/>
                <w:szCs w:val="24"/>
                <w:highlight w:val="white"/>
              </w:rPr>
              <w:t xml:space="preserve">); </w:t>
            </w:r>
            <w:r>
              <w:rPr>
                <w:rFonts w:ascii="Times New Roman" w:eastAsia="Times New Roman" w:hAnsi="Times New Roman" w:cs="Times New Roman"/>
                <w:color w:val="0F1115"/>
                <w:sz w:val="24"/>
                <w:szCs w:val="24"/>
              </w:rPr>
              <w:t>data_dictionary.md</w:t>
            </w:r>
            <w:r>
              <w:rPr>
                <w:rFonts w:ascii="Times New Roman" w:eastAsia="Times New Roman" w:hAnsi="Times New Roman" w:cs="Times New Roman"/>
                <w:color w:val="0F1115"/>
                <w:sz w:val="24"/>
                <w:szCs w:val="24"/>
                <w:highlight w:val="white"/>
              </w:rPr>
              <w:t xml:space="preserve"> (sección "Notas Importantes" con patrones documentados); 5 tablas generadas con volúmenes correctos.</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0246C908"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1D4D13" w14:paraId="66615E93"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045008BE"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Estadística descriptiva</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0D6C1600"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0694C197"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13D36B31"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Celdas 9-10: estadísticos completos (media, mediana, moda, desv_std, varianza, rango, Q1, Q3, IQR, asimetría, curtosis) para 4 variables; comparativa crudos vs filtrados. Celdas 11-12: histogramas y boxplots.</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30C3E628"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1D4D13" w14:paraId="31730755"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407629A2"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Inferencia y pruebas de hipótesis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10280BD7"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B5ADE5E"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18119CE2"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Celda 17: t-test (App vs Tienda Física, p=0.2056). Celda 18: ANOVA (ciudades, p=0.5873) + Tukey HSD. Celda 19: Chi-cuadrado (categoría vs método de pago, p=0.2918) + residuos estandarizados.</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76BC50C2"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4.0</w:t>
            </w:r>
          </w:p>
        </w:tc>
      </w:tr>
      <w:tr w:rsidR="001D4D13" w14:paraId="4CDB58AC"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4ED0E3D"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Interpretación de negocio</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35480324"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26AD52C6"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624D2F79"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Celdas de texto tras cada análisis (EDA, histogramas, boxplots, scatter, correlaciones). Sección 8: "Conclusiones de Negocio" con resumen ejecutivo, impacto financiero estimado y plan de acción de 4 semanas.</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462321FA"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1D4D13" w14:paraId="0E140433"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15E5AB0F"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Calidad del notebook</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6E0197F"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7E3ED5B4"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4B995FEA"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Notebook documentado en Markdown (objetivo, método, resultado, interpretación). Código comentado, visualizaciones profesionales, ejecución reproducible. Celdas 1-21.</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560161DB"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2.0</w:t>
            </w:r>
          </w:p>
        </w:tc>
      </w:tr>
      <w:tr w:rsidR="001D4D13" w14:paraId="1CA81383"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30F1D2BF"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P2 · Retrospectivo y estacionalidad</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482EC865"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45CAB0D2"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0BEE31DF"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Análisis de Series Temporales: Se realiza un análisis exhaustivo de la serie de ventas. Se incluyen gráficos de tendencia, estacionalidad (con picos identificados en Julio y Diciembre), descomposición de series (celda 14) y función de autocorrelación (ACF) (celda 16). La interpretación de negocio es clara y accionable.</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4BFBF9B9"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1D4D13" w14:paraId="53010974"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7701523E"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P2 · Identificación de patrones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08BD0392"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63EB302"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3E662BB1"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Análisis de Pareto (Celda 17): Se identifican patrones de concentración de ventas en productos (18.2% genera 80%), clientes (57.2% genera 80%) y categorías (2 categorías concentran el 80%). Análisis RFM (Celdas 18-20): Se segmenta a los clientes en categorías como "Champions", "En Riesgo" y "Potenciales", identificando patrones de comportamiento de compra. Ambos análisis tienen interpretaciones de negocio detalladas.</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70A70894"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1D4D13" w14:paraId="681653BE"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69D4925C"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P2 · Segmentación RFM/clustering</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1AFFD0DB"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2FC1795"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C21878A"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RFM (Celdas 18-20): Se calculan los puntajes R, F y M, se crean segmentos de clientes con una función personalizada, y se visualizan los resultados en gráficos de pie y barras. Clustering K-Means (Celdas 21-24): Se aplica K-Means a las variables RFM, se utiliza el método del codo y el coeficiente de silueta para elegir el número óptimo de clusters (K=3). Se analizan los centroides y se visualizan los clusters en 2D. La segmentación es robusta y está bien justificada.</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2D59C639"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4.0</w:t>
            </w:r>
          </w:p>
        </w:tc>
      </w:tr>
      <w:tr w:rsidR="001D4D13" w14:paraId="1D1ADA64"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3B979476"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P2 · Análisis diagnóstico</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4127570C"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1D433B95"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37517CE6"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El notebook está enfocado en diagnóstico de negocio. Cada análisis (Series temporales, Pareto, RFM, Clustering) incluye una sección de "Interpretación de Negocio Resumida" (ej. celdas 14, 16, 17, 20). Se extraen conclusiones como la "Alerta Crítica de Retención" para clientes "En Riesgo", la concentración extrema en 2 categorías, y el cambio de tendencia en las ventas. El diagnóstico es el eje central del proyecto.</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4C315F1E"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1D4D13" w14:paraId="73B78AEB"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A38F5A9"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P2 · Calidad del notebook</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66352B3C"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20C88AA5"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487B9A5B"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El notebook está muy bien estructurado y comentado. Utiliza títulos y subtítulos en Markdown para organizar el flujo de trabajo (Importación, Carga, Perfilado, Análisis). El código es limpio y está modularizado en funciones (ej. </w:t>
            </w:r>
            <w:r>
              <w:rPr>
                <w:rFonts w:ascii="Times New Roman" w:eastAsia="Times New Roman" w:hAnsi="Times New Roman" w:cs="Times New Roman"/>
                <w:color w:val="0F1115"/>
                <w:sz w:val="24"/>
                <w:szCs w:val="24"/>
              </w:rPr>
              <w:t>analisis_pareto</w:t>
            </w:r>
            <w:r>
              <w:rPr>
                <w:rFonts w:ascii="Times New Roman" w:eastAsia="Times New Roman" w:hAnsi="Times New Roman" w:cs="Times New Roman"/>
                <w:color w:val="0F1115"/>
                <w:sz w:val="24"/>
                <w:szCs w:val="24"/>
                <w:highlight w:val="white"/>
              </w:rPr>
              <w:t xml:space="preserve">, </w:t>
            </w:r>
            <w:r>
              <w:rPr>
                <w:rFonts w:ascii="Times New Roman" w:eastAsia="Times New Roman" w:hAnsi="Times New Roman" w:cs="Times New Roman"/>
                <w:color w:val="0F1115"/>
                <w:sz w:val="24"/>
                <w:szCs w:val="24"/>
              </w:rPr>
              <w:t>segmentar_rfm</w:t>
            </w:r>
            <w:r>
              <w:rPr>
                <w:rFonts w:ascii="Times New Roman" w:eastAsia="Times New Roman" w:hAnsi="Times New Roman" w:cs="Times New Roman"/>
                <w:color w:val="0F1115"/>
                <w:sz w:val="24"/>
                <w:szCs w:val="24"/>
                <w:highlight w:val="white"/>
              </w:rPr>
              <w:t>). Las visualizaciones están correctamente etiquetadas y son de alta calidad. Es un notebook profesional y fácil de seguir.</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48DD7AA9"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2.0</w:t>
            </w:r>
          </w:p>
        </w:tc>
      </w:tr>
      <w:tr w:rsidR="001D4D13" w14:paraId="64BECFDE"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63595E4B"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Preparación y variables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76834613"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25243726"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964642C"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Se construyen datasets de regresión y clasificación evitando </w:t>
            </w:r>
            <w:r>
              <w:rPr>
                <w:rFonts w:ascii="Times New Roman" w:eastAsia="Times New Roman" w:hAnsi="Times New Roman" w:cs="Times New Roman"/>
                <w:i/>
                <w:iCs/>
                <w:color w:val="0F1115"/>
                <w:sz w:val="24"/>
                <w:szCs w:val="24"/>
              </w:rPr>
              <w:t>data leakage</w:t>
            </w:r>
            <w:r>
              <w:rPr>
                <w:rFonts w:ascii="Times New Roman" w:eastAsia="Times New Roman" w:hAnsi="Times New Roman" w:cs="Times New Roman"/>
                <w:color w:val="0F1115"/>
                <w:sz w:val="24"/>
                <w:szCs w:val="24"/>
              </w:rPr>
              <w:t>, se realizan joins, imputación, separación de variables numéricas/categóricas, codificación mediante ColumnTransformer, escalado y pipeline completo. Además se documenta la validación del dataset antes del modelado.</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1B63F51B"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r>
      <w:tr w:rsidR="001D4D13" w14:paraId="11783F81"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0739674C"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Modelado predictivo</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403C7473"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A4C2F33"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07BBA60D"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Se implementan varios algoritmos para ambos problemas: </w:t>
            </w:r>
            <w:r>
              <w:rPr>
                <w:rFonts w:ascii="Times New Roman" w:eastAsia="Times New Roman" w:hAnsi="Times New Roman" w:cs="Times New Roman"/>
                <w:b/>
                <w:bCs/>
                <w:color w:val="0F1115"/>
                <w:sz w:val="24"/>
                <w:szCs w:val="24"/>
              </w:rPr>
              <w:t>Linear Regression, Random Forest, XGBoost</w:t>
            </w:r>
            <w:r>
              <w:rPr>
                <w:rFonts w:ascii="Times New Roman" w:eastAsia="Times New Roman" w:hAnsi="Times New Roman" w:cs="Times New Roman"/>
                <w:color w:val="0F1115"/>
                <w:sz w:val="24"/>
                <w:szCs w:val="24"/>
              </w:rPr>
              <w:t xml:space="preserve"> (regresión) y </w:t>
            </w:r>
            <w:r>
              <w:rPr>
                <w:rFonts w:ascii="Times New Roman" w:eastAsia="Times New Roman" w:hAnsi="Times New Roman" w:cs="Times New Roman"/>
                <w:b/>
                <w:bCs/>
                <w:color w:val="0F1115"/>
                <w:sz w:val="24"/>
                <w:szCs w:val="24"/>
              </w:rPr>
              <w:t>Logistic Regression, Random Forest, XGBoost</w:t>
            </w:r>
            <w:r>
              <w:rPr>
                <w:rFonts w:ascii="Times New Roman" w:eastAsia="Times New Roman" w:hAnsi="Times New Roman" w:cs="Times New Roman"/>
                <w:color w:val="0F1115"/>
                <w:sz w:val="24"/>
                <w:szCs w:val="24"/>
              </w:rPr>
              <w:t xml:space="preserve"> (clasificación). Existe comparación de modelos y selección del mejor modelo antes de optimizarlo.</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44DDF120"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1D4D13" w14:paraId="3D8120B0"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4D28FA66"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Evaluación de modelos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381B0049"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7EE6B334"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375C50D"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emplean métricas apropiadas para cada problema: MAE, RMSE y R² en regresión; Accuracy, Precision, Recall, F1 y ROC-AUC en clasificación. Además se utiliza conjunto de prueba independiente y validación cruzada (cv=5) durante la optimización con RandomizedSearchCV.</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08158AF9"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1D4D13" w14:paraId="1DC06D47"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1DCFDC8D"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Técnicas avanzadas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4A4CD42E"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0074C314"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1A6C8BFE"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incluyen pipelines, RandomizedSearchCV, validación cruzada, análisis de desbalance mediante class_weight, XGBoost e interpretabilidad con SHAP (si está disponible). Como mejora, podría incorporarse calibración de probabilidades, ajuste del umbral de decisión, validación estratificada más explícita o análisis de curvas ROC/PR.</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51434BD1"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1D4D13" w14:paraId="54E74C37"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7A2CFE94"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Interpretabilidad y conclusiones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B2F600A"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384253E"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0F958B8D"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analizan coeficientes, importancia de variables, gráficos de importancia, SHAP y se redactan conclusiones de negocio justificando la elección de los modelos y sus implicancias.</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77175365"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r>
      <w:tr w:rsidR="001D4D13" w14:paraId="3ABC1A49"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4863C401"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Formulación del problema</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36633507"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16F61F25"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B157A7F"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Celdas 5, 10, 14 (Markdown): formulación matemática completa en LaTeX para los 3 modelos — variables de decisión ($x_{ij}$, $d_j$, $y_k$), función objetivo con notación de sumatoria y restricciones numeradas. Modelo 1: LP liquidación de inventario. Modelo 2: LP redistribución de descuentos. Modelo 3: ILP Knapsack 0-1 anti-churn. Justificación de negocio en cada sección.</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020952DA"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r>
      <w:tr w:rsidR="001D4D13" w14:paraId="1DECE9AC"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5D4938FD"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Implementación y solución</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5D1C23EA"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1B9AB854"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199E2CB5"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Celdas 6–7 (Modelo 1), 11–12 (Modelo 2), 15–16 (Modelo 3): los 3 modelos implementados íntegramente con PuLP y solver CBC. Status Optimal verificado en los 3 casos. Tablas de resultados con valores numéricos de las variables de decisión (unidades a liquidar, tasas de descuento óptimas, lista de clientes seleccionados). Dashboard ejecutivo en Celda 19.</w:t>
            </w:r>
            <w:r>
              <w:rPr>
                <w:rFonts w:ascii="Times New Roman" w:eastAsia="Times New Roman" w:hAnsi="Times New Roman" w:cs="Times New Roman"/>
                <w:color w:val="0F1115"/>
                <w:sz w:val="24"/>
                <w:szCs w:val="24"/>
              </w:rPr>
              <w:br/>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6425EC73"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r>
      <w:tr w:rsidR="001D4D13" w14:paraId="14A53C26"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4CD228F"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Escenarios / sensibilidad</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6CB38ED4"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3F7B54C6"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9701036"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Celda 11 (Modelo 2): escenario de reducción del presupuesto de descuentos en 10% (de histórico a 90%) como mecanismo de restricción activa. Celda 15 (Modelo 3): se parametrizan </w:t>
            </w:r>
            <w:r>
              <w:rPr>
                <w:rStyle w:val="Textooriginal"/>
                <w:rFonts w:ascii="Times New Roman" w:hAnsi="Times New Roman"/>
                <w:color w:val="0F1115"/>
                <w:sz w:val="24"/>
                <w:szCs w:val="24"/>
              </w:rPr>
              <w:t>PRESUPUESTO = 10,000</w:t>
            </w:r>
            <w:r>
              <w:rPr>
                <w:rFonts w:ascii="Times New Roman" w:eastAsia="Times New Roman" w:hAnsi="Times New Roman" w:cs="Times New Roman"/>
                <w:color w:val="0F1115"/>
                <w:sz w:val="24"/>
                <w:szCs w:val="24"/>
              </w:rPr>
              <w:t> y </w:t>
            </w:r>
            <w:r>
              <w:rPr>
                <w:rStyle w:val="Textooriginal"/>
                <w:rFonts w:ascii="Times New Roman" w:hAnsi="Times New Roman"/>
                <w:color w:val="0F1115"/>
                <w:sz w:val="24"/>
                <w:szCs w:val="24"/>
              </w:rPr>
              <w:t>MAX_CANDS = 500</w:t>
            </w:r>
            <w:r>
              <w:rPr>
                <w:rFonts w:ascii="Times New Roman" w:eastAsia="Times New Roman" w:hAnsi="Times New Roman" w:cs="Times New Roman"/>
                <w:color w:val="0F1115"/>
                <w:sz w:val="24"/>
                <w:szCs w:val="24"/>
              </w:rPr>
              <w:t> como constantes explícitas, permitiendo variar manualmente. Celda 17 (interpretación): se menciona el escenario de incrementar el presupuesto a S/. 15,000 para capturar la siguiente capa de clientes. No se incluye análisis paramétrico automatizado.</w:t>
            </w:r>
            <w:r>
              <w:rPr>
                <w:rFonts w:ascii="Times New Roman" w:eastAsia="Times New Roman" w:hAnsi="Times New Roman" w:cs="Times New Roman"/>
                <w:color w:val="0F1115"/>
                <w:sz w:val="24"/>
                <w:szCs w:val="24"/>
              </w:rPr>
              <w:br/>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5B2AD11D"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r>
      <w:tr w:rsidR="001D4D13" w14:paraId="45715415"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20145E3"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Recomendaciones prescriptivas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5E2E544"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0C822657"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80599C4"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Celdas 9, 13, 17 (interpretación de negocio por modelo) y Celda 20 (Conclusiones): recomendaciones concretas con cifras — campaña de liquidación con descuentos de 15–25% priorizando Electrohogar; reducción gradual de descuentos en Trujillo en 2 trimestres con compensación mediante programas de fidelidad; ejecución de campaña anti-churn priorizando canal App (ROI máximo por costo de contacto S/. 3). Acción de negocio cuantificada para cada modelo.</w:t>
            </w:r>
            <w:r>
              <w:rPr>
                <w:rFonts w:ascii="Times New Roman" w:eastAsia="Times New Roman" w:hAnsi="Times New Roman" w:cs="Times New Roman"/>
                <w:color w:val="0F1115"/>
                <w:sz w:val="24"/>
                <w:szCs w:val="24"/>
              </w:rPr>
              <w:br/>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09E8DCF5"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1D4D13" w14:paraId="19776551"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7B3827F"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Calidad del notebook</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CA205F3"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ECAFD83"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2C6C7A4F" w14:textId="77777777" w:rsidR="001D4D1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Notebook estructurado en 5 secciones con Markdown (introducción teórica, carga de datos, 3 modelos, resumen ejecutivo). Formulaciones matemáticas en LaTeX. Visualizaciones con diseño profesional (dark mode, 6 gráficos + dashboard). Código comentado por bloques, variables descriptivas, ejecución reproducible end-to-end (confirmada con </w:t>
            </w:r>
            <w:r>
              <w:rPr>
                <w:rStyle w:val="Textooriginal"/>
                <w:rFonts w:ascii="Times New Roman" w:hAnsi="Times New Roman"/>
                <w:color w:val="0F1115"/>
                <w:sz w:val="24"/>
                <w:szCs w:val="24"/>
              </w:rPr>
              <w:t>nbconvert --execute</w:t>
            </w:r>
            <w:r>
              <w:rPr>
                <w:rFonts w:ascii="Times New Roman" w:eastAsia="Times New Roman" w:hAnsi="Times New Roman" w:cs="Times New Roman"/>
                <w:color w:val="0F1115"/>
                <w:sz w:val="24"/>
                <w:szCs w:val="24"/>
              </w:rPr>
              <w:t>).</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589CFBDE"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r>
      <w:tr w:rsidR="001D4D13" w14:paraId="5926DA92"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14769CF6"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Modelo de datos y DAX</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5703640"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CDE0785" w14:textId="64970B98" w:rsidR="001D4D13" w:rsidRDefault="00537A7A">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4CD36417" w14:textId="6D17BE67" w:rsidR="001D4D13" w:rsidRDefault="00537A7A">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Creación de tabla Calendario, medidas Clientes Activos, Clientes Inactivos, Clientes Totales, Gasto Promedio, Cantidad Vendida, Clientes, Ventas Totales, Tiendas, Variación Ventas, Ticket Promedio, Margen, etc.</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64B399F9" w14:textId="11A4BEDB" w:rsidR="001D4D13" w:rsidRDefault="00537A7A">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1D4D13" w14:paraId="5006AEE4"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429BE935"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Diseño y claridad</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724E6BBF"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458861E4" w14:textId="783A9BF7" w:rsidR="001D4D13" w:rsidRDefault="00537A7A">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1C204A10" w14:textId="293C7BBB" w:rsidR="001D4D13" w:rsidRDefault="00537A7A">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divide la presentación en 4 partes cada una separada por los filtros correspondientes</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1DC60050" w14:textId="7B7E4CB6" w:rsidR="001D4D13" w:rsidRDefault="00537A7A">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r>
      <w:tr w:rsidR="001D4D13" w14:paraId="07D3E254"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B7032A7"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Cobertura analítica</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0A53F1A2"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16999D5" w14:textId="10638B54" w:rsidR="001D4D13" w:rsidRDefault="00537A7A">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5B3F733E" w14:textId="4DD3C260" w:rsidR="001D4D13" w:rsidRDefault="00537A7A">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busca el “Por qué” de los datos y cuales son las tendencias en cuanto a los datos obtenidos</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2C34FCD3" w14:textId="4FD4B717" w:rsidR="001D4D13" w:rsidRDefault="00537A7A">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1D4D13" w14:paraId="33AD921E"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669E626A"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Interactividad</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65327BA9"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CBEE599" w14:textId="2E80BB82" w:rsidR="001D4D13" w:rsidRDefault="00537A7A">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227B0B4E" w14:textId="624B1AE8" w:rsidR="001D4D13" w:rsidRDefault="00537A7A">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Presencia de filtros de distinta naturaleza, Género, Ciudad, Año, Mes, etc.</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656D7850" w14:textId="76541F1A" w:rsidR="001D4D13" w:rsidRDefault="00537A7A">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r>
      <w:tr w:rsidR="001D4D13" w14:paraId="4BFA5566"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4CB68CF"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Storytelling y decisión</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A8093DC"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21B51D6A" w14:textId="77777777" w:rsidR="001D4D13" w:rsidRDefault="001D4D13">
            <w:pPr>
              <w:spacing w:line="240" w:lineRule="auto"/>
              <w:rPr>
                <w:rFonts w:ascii="Times New Roman" w:eastAsia="Times New Roman" w:hAnsi="Times New Roman" w:cs="Times New Roman"/>
                <w:color w:val="0F1115"/>
                <w:sz w:val="24"/>
                <w:szCs w:val="24"/>
              </w:rPr>
            </w:pP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3C3631B7" w14:textId="77777777" w:rsidR="001D4D13" w:rsidRDefault="001D4D13">
            <w:pPr>
              <w:spacing w:line="240" w:lineRule="auto"/>
              <w:ind w:left="-141" w:right="-254"/>
              <w:rPr>
                <w:rFonts w:ascii="Times New Roman" w:eastAsia="Times New Roman" w:hAnsi="Times New Roman" w:cs="Times New Roman"/>
                <w:color w:val="0F1115"/>
                <w:sz w:val="24"/>
                <w:szCs w:val="24"/>
              </w:rPr>
            </w:pP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061E1AE4" w14:textId="77777777" w:rsidR="001D4D13" w:rsidRDefault="001D4D13">
            <w:pPr>
              <w:spacing w:line="240" w:lineRule="auto"/>
              <w:ind w:left="-141" w:right="-165"/>
              <w:rPr>
                <w:rFonts w:ascii="Times New Roman" w:eastAsia="Times New Roman" w:hAnsi="Times New Roman" w:cs="Times New Roman"/>
                <w:color w:val="0F1115"/>
                <w:sz w:val="24"/>
                <w:szCs w:val="24"/>
              </w:rPr>
            </w:pPr>
          </w:p>
        </w:tc>
      </w:tr>
      <w:tr w:rsidR="001D4D13" w14:paraId="0A8D4A5F"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5DAB0936"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Bitácora · Registro de prompts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058D50AF"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195D0AEA" w14:textId="77777777" w:rsidR="001D4D13" w:rsidRDefault="001D4D13">
            <w:pPr>
              <w:spacing w:line="240" w:lineRule="auto"/>
              <w:rPr>
                <w:rFonts w:ascii="Times New Roman" w:eastAsia="Times New Roman" w:hAnsi="Times New Roman" w:cs="Times New Roman"/>
                <w:color w:val="0F1115"/>
                <w:sz w:val="24"/>
                <w:szCs w:val="24"/>
              </w:rPr>
            </w:pP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21787579" w14:textId="77777777" w:rsidR="001D4D13" w:rsidRDefault="001D4D13">
            <w:pPr>
              <w:spacing w:line="240" w:lineRule="auto"/>
              <w:ind w:left="-141" w:right="-254"/>
              <w:rPr>
                <w:rFonts w:ascii="Times New Roman" w:eastAsia="Times New Roman" w:hAnsi="Times New Roman" w:cs="Times New Roman"/>
                <w:color w:val="0F1115"/>
                <w:sz w:val="24"/>
                <w:szCs w:val="24"/>
              </w:rPr>
            </w:pP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253F5ADB" w14:textId="77777777" w:rsidR="001D4D13" w:rsidRDefault="001D4D13">
            <w:pPr>
              <w:spacing w:line="240" w:lineRule="auto"/>
              <w:ind w:left="-141" w:right="-165"/>
              <w:rPr>
                <w:rFonts w:ascii="Times New Roman" w:eastAsia="Times New Roman" w:hAnsi="Times New Roman" w:cs="Times New Roman"/>
                <w:color w:val="0F1115"/>
                <w:sz w:val="24"/>
                <w:szCs w:val="24"/>
              </w:rPr>
            </w:pPr>
          </w:p>
        </w:tc>
      </w:tr>
      <w:tr w:rsidR="001D4D13" w14:paraId="3EEE3FEC"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696AC493"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Bitácora · Prompt de datos detallado</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40041FBB"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79422B16" w14:textId="77777777" w:rsidR="001D4D13" w:rsidRDefault="001D4D13">
            <w:pPr>
              <w:spacing w:line="240" w:lineRule="auto"/>
              <w:rPr>
                <w:rFonts w:ascii="Times New Roman" w:eastAsia="Times New Roman" w:hAnsi="Times New Roman" w:cs="Times New Roman"/>
                <w:color w:val="0F1115"/>
                <w:sz w:val="24"/>
                <w:szCs w:val="24"/>
              </w:rPr>
            </w:pP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A7BE93E" w14:textId="77777777" w:rsidR="001D4D13" w:rsidRDefault="001D4D13">
            <w:pPr>
              <w:spacing w:line="240" w:lineRule="auto"/>
              <w:ind w:left="-141" w:right="-254"/>
              <w:rPr>
                <w:rFonts w:ascii="Times New Roman" w:eastAsia="Times New Roman" w:hAnsi="Times New Roman" w:cs="Times New Roman"/>
                <w:color w:val="0F1115"/>
                <w:sz w:val="24"/>
                <w:szCs w:val="24"/>
              </w:rPr>
            </w:pP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7EAFF245" w14:textId="77777777" w:rsidR="001D4D13" w:rsidRDefault="001D4D13">
            <w:pPr>
              <w:spacing w:line="240" w:lineRule="auto"/>
              <w:ind w:left="-141" w:right="-165"/>
              <w:rPr>
                <w:rFonts w:ascii="Times New Roman" w:eastAsia="Times New Roman" w:hAnsi="Times New Roman" w:cs="Times New Roman"/>
                <w:color w:val="0F1115"/>
                <w:sz w:val="24"/>
                <w:szCs w:val="24"/>
              </w:rPr>
            </w:pPr>
          </w:p>
        </w:tc>
      </w:tr>
      <w:tr w:rsidR="001D4D13" w14:paraId="5A3281DF"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55170824"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Bitácora · Validación crítica de IA</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6FA02AE3"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1</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E9A3030" w14:textId="77777777" w:rsidR="001D4D13" w:rsidRDefault="001D4D13">
            <w:pPr>
              <w:spacing w:line="240" w:lineRule="auto"/>
              <w:rPr>
                <w:rFonts w:ascii="Times New Roman" w:eastAsia="Times New Roman" w:hAnsi="Times New Roman" w:cs="Times New Roman"/>
                <w:color w:val="0F1115"/>
                <w:sz w:val="24"/>
                <w:szCs w:val="24"/>
              </w:rPr>
            </w:pP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2C3786AB" w14:textId="77777777" w:rsidR="001D4D13" w:rsidRDefault="001D4D13">
            <w:pPr>
              <w:spacing w:line="240" w:lineRule="auto"/>
              <w:ind w:left="-141" w:right="-254"/>
              <w:rPr>
                <w:rFonts w:ascii="Times New Roman" w:eastAsia="Times New Roman" w:hAnsi="Times New Roman" w:cs="Times New Roman"/>
                <w:color w:val="0F1115"/>
                <w:sz w:val="24"/>
                <w:szCs w:val="24"/>
              </w:rPr>
            </w:pP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693610E1" w14:textId="77777777" w:rsidR="001D4D13" w:rsidRDefault="001D4D13">
            <w:pPr>
              <w:spacing w:line="240" w:lineRule="auto"/>
              <w:ind w:left="-141" w:right="-165"/>
              <w:rPr>
                <w:rFonts w:ascii="Times New Roman" w:eastAsia="Times New Roman" w:hAnsi="Times New Roman" w:cs="Times New Roman"/>
                <w:color w:val="0F1115"/>
                <w:sz w:val="24"/>
                <w:szCs w:val="24"/>
              </w:rPr>
            </w:pPr>
          </w:p>
        </w:tc>
      </w:tr>
      <w:tr w:rsidR="001D4D13" w14:paraId="43DA5245"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5EAD24B2"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Presentación · Claridad y estructura</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3365B4F4"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FDBCAE2" w14:textId="77777777" w:rsidR="001D4D13" w:rsidRDefault="001D4D13">
            <w:pPr>
              <w:spacing w:line="240" w:lineRule="auto"/>
              <w:rPr>
                <w:rFonts w:ascii="Times New Roman" w:eastAsia="Times New Roman" w:hAnsi="Times New Roman" w:cs="Times New Roman"/>
                <w:color w:val="0F1115"/>
                <w:sz w:val="24"/>
                <w:szCs w:val="24"/>
              </w:rPr>
            </w:pP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0E031C91" w14:textId="77777777" w:rsidR="001D4D13" w:rsidRDefault="001D4D13">
            <w:pPr>
              <w:spacing w:line="240" w:lineRule="auto"/>
              <w:ind w:left="-141" w:right="-254"/>
              <w:rPr>
                <w:rFonts w:ascii="Times New Roman" w:eastAsia="Times New Roman" w:hAnsi="Times New Roman" w:cs="Times New Roman"/>
                <w:color w:val="0F1115"/>
                <w:sz w:val="24"/>
                <w:szCs w:val="24"/>
              </w:rPr>
            </w:pP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286B9FB3" w14:textId="77777777" w:rsidR="001D4D13" w:rsidRDefault="001D4D13">
            <w:pPr>
              <w:spacing w:line="240" w:lineRule="auto"/>
              <w:ind w:left="-141" w:right="-165"/>
              <w:rPr>
                <w:rFonts w:ascii="Times New Roman" w:eastAsia="Times New Roman" w:hAnsi="Times New Roman" w:cs="Times New Roman"/>
                <w:color w:val="0F1115"/>
                <w:sz w:val="24"/>
                <w:szCs w:val="24"/>
              </w:rPr>
            </w:pPr>
          </w:p>
        </w:tc>
      </w:tr>
      <w:tr w:rsidR="001D4D13" w14:paraId="645DD7EA"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992FC68"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Presentación · Dominio y respuestas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06E9E55F"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6111AD8" w14:textId="77777777" w:rsidR="001D4D13" w:rsidRDefault="001D4D13">
            <w:pPr>
              <w:spacing w:line="240" w:lineRule="auto"/>
              <w:rPr>
                <w:rFonts w:ascii="Times New Roman" w:eastAsia="Times New Roman" w:hAnsi="Times New Roman" w:cs="Times New Roman"/>
                <w:color w:val="0F1115"/>
                <w:sz w:val="24"/>
                <w:szCs w:val="24"/>
              </w:rPr>
            </w:pP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693FA62F" w14:textId="77777777" w:rsidR="001D4D13" w:rsidRDefault="001D4D13">
            <w:pPr>
              <w:spacing w:line="240" w:lineRule="auto"/>
              <w:ind w:left="-141" w:right="-254"/>
              <w:rPr>
                <w:rFonts w:ascii="Times New Roman" w:eastAsia="Times New Roman" w:hAnsi="Times New Roman" w:cs="Times New Roman"/>
                <w:color w:val="0F1115"/>
                <w:sz w:val="24"/>
                <w:szCs w:val="24"/>
              </w:rPr>
            </w:pP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49D7517C" w14:textId="77777777" w:rsidR="001D4D13" w:rsidRDefault="001D4D13">
            <w:pPr>
              <w:spacing w:line="240" w:lineRule="auto"/>
              <w:ind w:left="-141" w:right="-165"/>
              <w:rPr>
                <w:rFonts w:ascii="Times New Roman" w:eastAsia="Times New Roman" w:hAnsi="Times New Roman" w:cs="Times New Roman"/>
                <w:color w:val="0F1115"/>
                <w:sz w:val="24"/>
                <w:szCs w:val="24"/>
              </w:rPr>
            </w:pPr>
          </w:p>
        </w:tc>
      </w:tr>
      <w:tr w:rsidR="001D4D13" w14:paraId="6149293A"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7F310BFD"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Presentación · Participación del equipo</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17A5DCE7"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1184449" w14:textId="77777777" w:rsidR="001D4D13" w:rsidRDefault="001D4D13">
            <w:pPr>
              <w:spacing w:line="240" w:lineRule="auto"/>
              <w:rPr>
                <w:rFonts w:ascii="Times New Roman" w:eastAsia="Times New Roman" w:hAnsi="Times New Roman" w:cs="Times New Roman"/>
                <w:color w:val="0F1115"/>
                <w:sz w:val="24"/>
                <w:szCs w:val="24"/>
              </w:rPr>
            </w:pP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2B009178" w14:textId="77777777" w:rsidR="001D4D13" w:rsidRDefault="001D4D13">
            <w:pPr>
              <w:spacing w:line="240" w:lineRule="auto"/>
              <w:ind w:left="-141" w:right="-254"/>
              <w:rPr>
                <w:rFonts w:ascii="Times New Roman" w:eastAsia="Times New Roman" w:hAnsi="Times New Roman" w:cs="Times New Roman"/>
                <w:color w:val="0F1115"/>
                <w:sz w:val="24"/>
                <w:szCs w:val="24"/>
              </w:rPr>
            </w:pP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4FD9601D" w14:textId="77777777" w:rsidR="001D4D13" w:rsidRDefault="001D4D13">
            <w:pPr>
              <w:spacing w:line="240" w:lineRule="auto"/>
              <w:ind w:left="-141" w:right="-165"/>
              <w:rPr>
                <w:rFonts w:ascii="Times New Roman" w:eastAsia="Times New Roman" w:hAnsi="Times New Roman" w:cs="Times New Roman"/>
                <w:color w:val="0F1115"/>
                <w:sz w:val="24"/>
                <w:szCs w:val="24"/>
              </w:rPr>
            </w:pPr>
          </w:p>
        </w:tc>
      </w:tr>
      <w:tr w:rsidR="001D4D13" w14:paraId="3A7CC2BB"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4EBF771A" w14:textId="77777777" w:rsidR="001D4D1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TOTAL ESTIMADO (sobre 100)</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24902E7" w14:textId="77777777" w:rsidR="001D4D1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100</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6012551" w14:textId="77777777" w:rsidR="001D4D13" w:rsidRDefault="001D4D13">
            <w:pPr>
              <w:spacing w:line="240" w:lineRule="auto"/>
              <w:rPr>
                <w:rFonts w:ascii="Times New Roman" w:eastAsia="Times New Roman" w:hAnsi="Times New Roman" w:cs="Times New Roman"/>
                <w:color w:val="0F1115"/>
                <w:sz w:val="24"/>
                <w:szCs w:val="24"/>
              </w:rPr>
            </w:pP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5501869E" w14:textId="77777777" w:rsidR="001D4D13" w:rsidRDefault="001D4D13">
            <w:pPr>
              <w:spacing w:line="240" w:lineRule="auto"/>
              <w:ind w:left="-141" w:right="-254"/>
              <w:rPr>
                <w:rFonts w:ascii="Times New Roman" w:eastAsia="Times New Roman" w:hAnsi="Times New Roman" w:cs="Times New Roman"/>
                <w:color w:val="0F1115"/>
                <w:sz w:val="24"/>
                <w:szCs w:val="24"/>
              </w:rPr>
            </w:pP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36962E58" w14:textId="77777777" w:rsidR="001D4D1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~80.0</w:t>
            </w:r>
          </w:p>
        </w:tc>
      </w:tr>
    </w:tbl>
    <w:p w14:paraId="5F4754D3" w14:textId="77777777" w:rsidR="001D4D13" w:rsidRDefault="001D4D13"/>
    <w:sectPr w:rsidR="001D4D13">
      <w:pgSz w:w="11906" w:h="16838"/>
      <w:pgMar w:top="1440" w:right="1440" w:bottom="1440" w:left="1440" w:header="0" w:footer="0" w:gutter="0"/>
      <w:pgNumType w:start="1"/>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Mono">
    <w:altName w:val="Courier New"/>
    <w:charset w:val="01"/>
    <w:family w:val="modern"/>
    <w:pitch w:val="fixed"/>
    <w:embedRegular r:id="rId1" w:fontKey="{FE1C84AD-172B-4AA3-8782-FDB77763D7D7}"/>
  </w:font>
  <w:font w:name="Noto Sans Devanaga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2" w:fontKey="{75E924CE-82B2-4650-BE1C-2B8E518CCC32}"/>
  </w:font>
  <w:font w:name="Cambria">
    <w:panose1 w:val="02040503050406030204"/>
    <w:charset w:val="00"/>
    <w:family w:val="roman"/>
    <w:pitch w:val="variable"/>
    <w:sig w:usb0="E00006FF" w:usb1="420024FF" w:usb2="02000000" w:usb3="00000000" w:csb0="0000019F" w:csb1="00000000"/>
    <w:embedRegular r:id="rId3" w:fontKey="{60411774-0B99-46E2-8E17-6ECA5E3F393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4D13"/>
    <w:rsid w:val="001D4D13"/>
    <w:rsid w:val="00537A7A"/>
    <w:rsid w:val="00A411AD"/>
  </w:rsids>
  <m:mathPr>
    <m:mathFont m:val="Cambria Math"/>
    <m:brkBin m:val="before"/>
    <m:brkBinSub m:val="--"/>
    <m:smallFrac m:val="0"/>
    <m:dispDef/>
    <m:lMargin m:val="0"/>
    <m:rMargin m:val="0"/>
    <m:defJc m:val="centerGroup"/>
    <m:wrapIndent m:val="1440"/>
    <m:intLim m:val="subSup"/>
    <m:naryLim m:val="undOvr"/>
  </m:mathPr>
  <w:themeFontLang w:val="es-PE"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BBCFF"/>
  <w15:docId w15:val="{D3508EFB-4714-4E81-9E77-EF68C25F9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qFormat/>
    <w:rPr>
      <w:b/>
      <w:bCs/>
    </w:rPr>
  </w:style>
  <w:style w:type="character" w:customStyle="1" w:styleId="Textooriginal">
    <w:name w:val="Texto original"/>
    <w:qFormat/>
    <w:rPr>
      <w:rFonts w:ascii="Liberation Mono" w:eastAsia="Liberation Mono" w:hAnsi="Liberation Mono" w:cs="Liberation Mono"/>
    </w:rPr>
  </w:style>
  <w:style w:type="paragraph" w:styleId="Ttulo">
    <w:name w:val="Title"/>
    <w:basedOn w:val="Normal"/>
    <w:next w:val="Textoindependiente"/>
    <w:uiPriority w:val="10"/>
    <w:qFormat/>
    <w:pPr>
      <w:keepNext/>
      <w:keepLines/>
      <w:spacing w:after="60"/>
    </w:pPr>
    <w:rPr>
      <w:sz w:val="52"/>
      <w:szCs w:val="52"/>
    </w:rPr>
  </w:style>
  <w:style w:type="paragraph" w:styleId="Textoindependiente">
    <w:name w:val="Body Text"/>
    <w:basedOn w:val="Normal"/>
    <w:pPr>
      <w:spacing w:after="140"/>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styleId="Subttulo">
    <w:name w:val="Subtitle"/>
    <w:basedOn w:val="Normal"/>
    <w:next w:val="Normal"/>
    <w:uiPriority w:val="11"/>
    <w:qFormat/>
    <w:pPr>
      <w:keepNext/>
      <w:keepLines/>
      <w:spacing w:after="320"/>
    </w:pPr>
    <w:rPr>
      <w:color w:val="666666"/>
      <w:sz w:val="30"/>
      <w:szCs w:val="30"/>
    </w:r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
    <w:name w:val="Ninguna lista"/>
    <w:uiPriority w:val="99"/>
    <w:semiHidden/>
    <w:unhideWhenUsed/>
    <w:qFormat/>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7</Pages>
  <Words>1250</Words>
  <Characters>6878</Characters>
  <Application>Microsoft Office Word</Application>
  <DocSecurity>0</DocSecurity>
  <Lines>57</Lines>
  <Paragraphs>16</Paragraphs>
  <ScaleCrop>false</ScaleCrop>
  <Company/>
  <LinksUpToDate>false</LinksUpToDate>
  <CharactersWithSpaces>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Emerson Huaman Ortiz</cp:lastModifiedBy>
  <cp:revision>2</cp:revision>
  <dcterms:created xsi:type="dcterms:W3CDTF">2026-07-14T22:07:00Z</dcterms:created>
  <dcterms:modified xsi:type="dcterms:W3CDTF">2026-07-14T22:11:00Z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2026-07-14T04:29:00Z</dcterms:created>
  <dc:creator/>
  <dc:description/>
  <dc:language>es-ES</dc:language>
  <cp:lastModifiedBy/>
  <dcterms:modified xsi:type="dcterms:W3CDTF">2026-07-14T09:24:05Z</dcterms:modified>
  <cp:revision>4</cp:revision>
  <dc:subject/>
  <dc:title/>
</cp:coreProperties>
</file>