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23C4F"/>
          <w:sz w:val="44"/>
        </w:rPr>
        <w:t>COMPANY CARE</w:t>
        <w:br/>
        <w:t>Informe de Funcionalidades del Sitio y Anexo Piloto</w:t>
      </w:r>
    </w:p>
    <w:p>
      <w:pPr>
        <w:spacing w:after="480"/>
        <w:jc w:val="center"/>
      </w:pPr>
      <w:r>
        <w:rPr>
          <w:rFonts w:ascii="Calibri" w:hAnsi="Calibri"/>
          <w:i/>
          <w:color w:val="0F6E56"/>
          <w:sz w:val="24"/>
        </w:rPr>
        <w:t>Plataforma Corporativa de Cuidado Senior | Operado por Comercial Ovni</w:t>
      </w:r>
    </w:p>
    <w:p>
      <w:pPr>
        <w:spacing w:after="360"/>
      </w:pPr>
      <w:r>
        <w:rPr>
          <w:color w:val="C8D2DC"/>
        </w:rPr>
        <w:t>_________________________________________________________________________________</w:t>
      </w:r>
    </w:p>
    <w:p>
      <w:pPr>
        <w:pStyle w:val="Heading1"/>
      </w:pPr>
      <w:r>
        <w:rPr>
          <w:b/>
          <w:color w:val="123C4F"/>
          <w:sz w:val="32"/>
        </w:rPr>
        <w:t>1. Descripción General de la Plataforma</w:t>
      </w:r>
    </w:p>
    <w:p>
      <w:pPr>
        <w:spacing w:after="280"/>
      </w:pPr>
      <w:r>
        <w:rPr>
          <w:rFonts w:ascii="Calibri" w:hAnsi="Calibri"/>
          <w:color w:val="282C34"/>
          <w:sz w:val="22"/>
        </w:rPr>
        <w:t>Company Care es la solución digital corporativa orientada a conectar a las empresas y sus colaboradores con una red integral de expertos en gerontología, proveedores auditados y recursos para la gestión y acompañamiento del cuidado de adultos mayores, reduciendo el estrés del trabajador y el ausentismo laboral.</w:t>
      </w:r>
    </w:p>
    <w:p>
      <w:pPr>
        <w:pStyle w:val="Heading1"/>
      </w:pPr>
      <w:r>
        <w:rPr>
          <w:b/>
          <w:color w:val="123C4F"/>
          <w:sz w:val="32"/>
        </w:rPr>
        <w:t>2. Funcionalidades del Sitio Web y Plataforma</w:t>
      </w:r>
    </w:p>
    <w:p>
      <w:pPr>
        <w:spacing w:before="160" w:after="80"/>
      </w:pPr>
      <w:r>
        <w:rPr>
          <w:rFonts w:ascii="Calibri" w:hAnsi="Calibri"/>
          <w:b/>
          <w:color w:val="042433"/>
          <w:sz w:val="26"/>
        </w:rPr>
        <w:t>• Portal del Colaborador (Empleado)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Acceso Corporativo Seguro: Inicio de sesión mediante correo institucional de la empresa.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Asesoría con Care Experts: Chat y videollamada con gerontólogos y trabajadores sociales para evaluar cada caso.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Red de Proveedores Verificados: Catálogo filtrable de residencias auditadas, cuidadores a domicilio y especialistas médicos en Chile.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Biblioteca de Recursos: Guías paso a paso descargables, checklists gerontológicos y orientación legal/financiera.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Módulo de Bienestar y Formación: Cursos y cápsulas online para prevenir el agotamiento (burnout) del cuidador.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Seguimiento de Casos: Monitoreo en tiempo real del estado de cada solicitud.</w:t>
      </w:r>
    </w:p>
    <w:p>
      <w:pPr>
        <w:spacing w:before="160" w:after="80"/>
      </w:pPr>
      <w:r>
        <w:rPr>
          <w:rFonts w:ascii="Calibri" w:hAnsi="Calibri"/>
          <w:b/>
          <w:color w:val="042433"/>
          <w:sz w:val="26"/>
        </w:rPr>
        <w:t>• Panel de Recursos Humanos (Dashboard HR)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Métricas de Impacto en Tiempo Real: Visualización de ausentismo reducido, nivel de adopción del beneficio y satisfacción (4.8/5).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Personalización Co-Branding: Adaptación de la plataforma con la identidad corporativa de la empresa cliente.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Gestión de Accesos al Beneficio: Control de habilitación y asignación de colaboradores activos.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Reportes Ejecutivos: Generación de reportes descargables para la dirección general de la empresa.</w:t>
      </w:r>
    </w:p>
    <w:p>
      <w:pPr>
        <w:spacing w:before="160" w:after="80"/>
      </w:pPr>
      <w:r>
        <w:rPr>
          <w:rFonts w:ascii="Calibri" w:hAnsi="Calibri"/>
          <w:b/>
          <w:color w:val="042433"/>
          <w:sz w:val="26"/>
        </w:rPr>
        <w:t>• Sitio Web y Canales Públicos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Sitio Informativo e Interactivo: Muestra detallada de servicios, modelo de atención e indicadores clave.</w:t>
      </w:r>
    </w:p>
    <w:p>
      <w:pPr>
        <w:spacing w:after="60"/>
        <w:ind w:left="432"/>
      </w:pPr>
      <w:r>
        <w:rPr>
          <w:rFonts w:ascii="Calibri" w:hAnsi="Calibri"/>
          <w:color w:val="282C34"/>
          <w:sz w:val="21"/>
        </w:rPr>
        <w:t>- Cotizador y Formulario Corporativo: Solicitud directa de propuestas y demostraciones personalizadas.</w:t>
      </w:r>
    </w:p>
    <w:p>
      <w:pPr>
        <w:pStyle w:val="Heading1"/>
      </w:pPr>
      <w:r>
        <w:rPr>
          <w:b/>
          <w:color w:val="123C4F"/>
          <w:sz w:val="32"/>
        </w:rPr>
        <w:t>3. Anexo de Condiciones de Asistencia Técnico-Funcional (Piloto)</w:t>
      </w:r>
    </w:p>
    <w:p>
      <w:pPr>
        <w:spacing w:after="240"/>
      </w:pPr>
      <w:r>
        <w:rPr>
          <w:rFonts w:ascii="Calibri" w:hAnsi="Calibri"/>
          <w:color w:val="282C34"/>
          <w:sz w:val="22"/>
        </w:rPr>
        <w:t>El presente Anexo regula las condiciones de asistencia técnico-funcional provistas por Comercial Ovni para la plataforma Company Care durante el período piloto: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23C4F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Concepto</w:t>
            </w:r>
          </w:p>
        </w:tc>
        <w:tc>
          <w:tcPr>
            <w:tcW w:type="dxa" w:w="6192"/>
            <w:shd w:fill="123C4F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Detalle y Condición</w:t>
            </w:r>
          </w:p>
        </w:tc>
      </w:tr>
      <w:tr>
        <w:tc>
          <w:tcPr>
            <w:tcW w:type="dxa" w:w="3168"/>
            <w:shd w:fill="F4F7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042433"/>
                <w:sz w:val="21"/>
              </w:rPr>
              <w:t>Canales Habilitados</w:t>
            </w:r>
          </w:p>
        </w:tc>
        <w:tc>
          <w:tcPr>
            <w:tcW w:type="dxa" w:w="6192"/>
            <w:shd w:fill="F4F7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282C34"/>
                <w:sz w:val="21"/>
              </w:rPr>
              <w:t>Soporte vía correo electrónico a contacto@comercialovni.cl y chat de mensajería al número corporativo coordinado con la contraparte del Cliente.</w:t>
            </w:r>
          </w:p>
        </w:tc>
      </w:tr>
      <w:tr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042433"/>
                <w:sz w:val="21"/>
              </w:rPr>
              <w:t>Horario de Atención</w:t>
            </w:r>
          </w:p>
        </w:tc>
        <w:tc>
          <w:tcPr>
            <w:tcW w:type="dxa" w:w="61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282C34"/>
                <w:sz w:val="21"/>
              </w:rPr>
              <w:t>Lunes a viernes de 09:00 a 18:00 horas (Hora de Chile Continental). Se excluyen días sábados, domingos y festivos en Chile.</w:t>
            </w:r>
          </w:p>
        </w:tc>
      </w:tr>
      <w:tr>
        <w:tc>
          <w:tcPr>
            <w:tcW w:type="dxa" w:w="3168"/>
            <w:shd w:fill="F4F7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042433"/>
                <w:sz w:val="21"/>
              </w:rPr>
              <w:t>Tiempos de Respuesta</w:t>
            </w:r>
          </w:p>
        </w:tc>
        <w:tc>
          <w:tcPr>
            <w:tcW w:type="dxa" w:w="6192"/>
            <w:shd w:fill="F4F7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282C34"/>
                <w:sz w:val="21"/>
              </w:rPr>
              <w:t>Máximo 24 horas hábiles desde la recepción formal del requerimiento para entregar el acuse de recibo o estado técnico inicial.</w:t>
            </w:r>
          </w:p>
        </w:tc>
      </w:tr>
      <w:tr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042433"/>
                <w:sz w:val="21"/>
              </w:rPr>
              <w:t>Exclusiones</w:t>
            </w:r>
          </w:p>
        </w:tc>
        <w:tc>
          <w:tcPr>
            <w:tcW w:type="dxa" w:w="61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282C34"/>
                <w:sz w:val="21"/>
              </w:rPr>
              <w:t>El soporte no incluye reparación de hardware, configuraciones de conectividad interna del Cliente, ni desarrollos de software a medida ajenos al alcance original del piloto.</w:t>
            </w:r>
          </w:p>
        </w:tc>
      </w:tr>
    </w:tbl>
    <w:p>
      <w:pPr>
        <w:spacing w:before="560"/>
        <w:jc w:val="center"/>
      </w:pPr>
      <w:r>
        <w:rPr>
          <w:rFonts w:ascii="Calibri" w:hAnsi="Calibri"/>
          <w:i/>
          <w:color w:val="8C96A0"/>
          <w:sz w:val="18"/>
        </w:rPr>
        <w:t>Documento Oficial - Company Care | Comercial Ovni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