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jc w:val="center"/>
      </w:pPr>
      <w:r>
        <w:rPr>
          <w:b/>
          <w:sz w:val="36"/>
        </w:rPr>
        <w:t xml:space="preserve">ACTIVIDAD SEMANA 5</w:t>
      </w:r>
    </w:p>
    <w:p>
      <w:pPr>
        <w:jc w:val="center"/>
      </w:pPr>
      <w:r>
        <w:rPr>
          <w:b/>
          <w:sz w:val="30"/>
        </w:rPr>
        <w:t xml:space="preserve">Refactorización y Principio Abierto/Cerrado (OCP)</w:t>
      </w:r>
    </w:p>
    <w:p>
      <w:pPr>
        <w:jc w:val="center"/>
      </w:pPr>
      <w:r>
        <w:rPr>
          <w:sz w:val="22"/>
        </w:rPr>
        <w:t xml:space="preserve">Sistema de Ventas - Java + VS Code + GitHub</w:t>
      </w:r>
    </w:p>
    <w:p>
      <w:pPr/>
      <w:r>
        <w:rPr>
          <w:sz w:val="22"/>
        </w:rPr>
        <w:t xml:space="preserve"/>
      </w:r>
    </w:p>
    <w:p>
      <w:pPr/>
      <w:r>
        <w:rPr>
          <w:b/>
          <w:sz w:val="28"/>
        </w:rPr>
        <w:t xml:space="preserve">Objetivo</w:t>
      </w:r>
    </w:p>
    <w:p>
      <w:pPr/>
      <w:r>
        <w:rPr>
          <w:sz w:val="22"/>
        </w:rPr>
        <w:t xml:space="preserve">Aplicar Strategy y Factory para calcular descuentos sin un bloque condicional extenso. Las reglas se pueden extender sin modificar el servicio central.</w:t>
      </w:r>
    </w:p>
    <w:p>
      <w:pPr/>
      <w:r>
        <w:rPr>
          <w:b/>
          <w:sz w:val="28"/>
        </w:rPr>
        <w:t xml:space="preserve">Paso 1. Interfaz IDescuentoStrategy</w:t>
      </w:r>
    </w:p>
    <w:p>
      <w:pPr/>
      <w:r>
        <w:rPr>
          <w:sz w:val="22"/>
        </w:rPr>
        <w:t xml:space="preserve">La interfaz define el contrato aplicar(monto) que cumplen todas las estrategias.</w:t>
      </w:r>
    </w:p>
    <w:p>
      <w:r>
        <w:drawing>
          <wp:inline distT="0" distB="0" distL="0" distR="0">
            <wp:extent cx="5943600" cy="3343275"/>
            <wp:docPr id="1" name="Evidencia 1"/>
            <a:graphic>
              <a:graphicData uri="http://schemas.openxmlformats.org/drawingml/2006/picture">
                <pic:pic>
                  <pic:nvPicPr>
                    <pic:cNvPr id="0" name="evidencia.png"/>
                    <pic:cNvPicPr/>
                  </pic:nvPicPr>
                  <pic:blipFill>
                    <a:blip r:embed="rId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/>
      <w:r>
        <w:rPr>
          <w:b/>
          <w:sz w:val="28"/>
        </w:rPr>
        <w:t xml:space="preserve">Paso 2. Estrategias de descuento</w:t>
      </w:r>
    </w:p>
    <w:p>
      <w:pPr/>
      <w:r>
        <w:rPr>
          <w:sz w:val="22"/>
        </w:rPr>
        <w:t xml:space="preserve">Se implementaron DescuentoVIP (20%), DescuentoNormal (5%), DescuentoEmpresa (15%) y DescuentoEstudiante (10%).</w:t>
      </w:r>
    </w:p>
    <w:p>
      <w:pPr/>
      <w:r>
        <w:rPr>
          <w:b/>
          <w:sz w:val="28"/>
        </w:rPr>
        <w:t xml:space="preserve">Paso 3. DescuentoFactory</w:t>
      </w:r>
    </w:p>
    <w:p>
      <w:pPr/>
      <w:r>
        <w:rPr>
          <w:sz w:val="22"/>
        </w:rPr>
        <w:t xml:space="preserve">La Factory registra las estrategias en un Map, las obtiene por tipo de cliente y evita un if-else gigante.</w:t>
      </w:r>
    </w:p>
    <w:p>
      <w:r>
        <w:drawing>
          <wp:inline distT="0" distB="0" distL="0" distR="0">
            <wp:extent cx="5943600" cy="3343275"/>
            <wp:docPr id="2" name="Evidencia 2"/>
            <a:graphic>
              <a:graphicData uri="http://schemas.openxmlformats.org/drawingml/2006/picture">
                <pic:pic>
                  <pic:nvPicPr>
                    <pic:cNvPr id="0" name="evidencia.png"/>
                    <pic:cNvPicPr/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/>
      <w:r>
        <w:rPr>
          <w:b/>
          <w:sz w:val="28"/>
        </w:rPr>
        <w:t xml:space="preserve">Paso 4. DescuentoService y aplicación real</w:t>
      </w:r>
    </w:p>
    <w:p>
      <w:pPr/>
      <w:r>
        <w:rPr>
          <w:sz w:val="22"/>
        </w:rPr>
        <w:t xml:space="preserve">DescuentoService delega a Factory + Strategy. VentaService calcula y guarda el descuento; el reporte muestra subtotal, descuento y total a pagar.</w:t>
      </w:r>
    </w:p>
    <w:p>
      <w:r>
        <w:drawing>
          <wp:inline distT="0" distB="0" distL="0" distR="0">
            <wp:extent cx="5943600" cy="3343275"/>
            <wp:docPr id="3" name="Evidencia 3"/>
            <a:graphic>
              <a:graphicData uri="http://schemas.openxmlformats.org/drawingml/2006/picture">
                <pic:pic>
                  <pic:nvPicPr>
                    <pic:cNvPr id="0" name="evidencia.png"/>
                    <pic:cNvPicPr/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drawing>
          <wp:inline distT="0" distB="0" distL="0" distR="0">
            <wp:extent cx="5943600" cy="3343275"/>
            <wp:docPr id="4" name="Evidencia 4"/>
            <a:graphic>
              <a:graphicData uri="http://schemas.openxmlformats.org/drawingml/2006/picture">
                <pic:pic>
                  <pic:nvPicPr>
                    <pic:cNvPr id="0" name="evidencia.png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/>
      <w:r>
        <w:rPr>
          <w:b/>
          <w:sz w:val="28"/>
        </w:rPr>
        <w:t xml:space="preserve">Prueba de funcionamiento en terminal</w:t>
      </w:r>
    </w:p>
    <w:p>
      <w:pPr/>
      <w:r>
        <w:rPr>
          <w:sz w:val="22"/>
        </w:rPr>
        <w:t xml:space="preserve">El sistema se compiló y ejecutó con Eclipse Temurin JDK 21. La evidencia muestra desde el registro de clientes hasta el reporte final de cuatro ventas con descuentos correctos.</w:t>
      </w:r>
    </w:p>
    <w:p>
      <w:r>
        <w:drawing>
          <wp:inline distT="0" distB="0" distL="0" distR="0">
            <wp:extent cx="5943600" cy="3343275"/>
            <wp:docPr id="5" name="Evidencia 5"/>
            <a:graphic>
              <a:graphicData uri="http://schemas.openxmlformats.org/drawingml/2006/picture">
                <pic:pic>
                  <pic:nvPicPr>
                    <pic:cNvPr id="0" name="evidencia.png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/>
      <w:r>
        <w:rPr>
          <w:b/>
          <w:sz w:val="28"/>
        </w:rPr>
        <w:t xml:space="preserve">Paso 5. Commit y subida a GitHub</w:t>
      </w:r>
    </w:p>
    <w:p>
      <w:pPr/>
      <w:r>
        <w:rPr>
          <w:sz w:val="22"/>
        </w:rPr>
        <w:t xml:space="preserve">Pendiente de realizar por el estudiante. Antes de hacerlo debe resolverse el conflicto existente en README.md. Luego ejecutar:</w:t>
      </w:r>
    </w:p>
    <w:p>
      <w:pPr/>
      <w:r>
        <w:rPr>
          <w:sz w:val="20"/>
        </w:rPr>
        <w:t xml:space="preserve">git add .</w:t>
      </w:r>
    </w:p>
    <w:p>
      <w:pPr/>
      <w:r>
        <w:rPr>
          <w:sz w:val="20"/>
        </w:rPr>
        <w:t xml:space="preserve">git commit -m "Refactorizacion: aplicacion de estrategias de descuento OCP"</w:t>
      </w:r>
    </w:p>
    <w:p>
      <w:pPr/>
      <w:r>
        <w:rPr>
          <w:sz w:val="20"/>
        </w:rPr>
        <w:t xml:space="preserve">git push</w:t>
      </w:r>
    </w:p>
    <w:p>
      <w:pPr/>
      <w:r>
        <w:rPr>
          <w:sz w:val="22"/>
        </w:rPr>
        <w:t xml:space="preserve">Después de la subida, insertar una captura de la terminal mostrando el push exitoso o del repositorio GitHub con el commit publicado.</w:t>
      </w:r>
    </w:p>
    <w:p>
      <w:pPr/>
      <w:r>
        <w:rPr>
          <w:b/>
          <w:sz w:val="28"/>
        </w:rPr>
        <w:t xml:space="preserve">Respuestas</w:t>
      </w:r>
    </w:p>
    <w:p>
      <w:pPr/>
      <w:r>
        <w:rPr>
          <w:b/>
          <w:sz w:val="24"/>
        </w:rPr>
        <w:t xml:space="preserve">¿Por qué OCP evita errores?</w:t>
      </w:r>
    </w:p>
    <w:p>
      <w:pPr/>
      <w:r>
        <w:rPr>
          <w:sz w:val="22"/>
        </w:rPr>
        <w:t xml:space="preserve">Porque cada regla se encapsula en una clase independiente. Agregar una nueva regla no altera VentaService ni DescuentoService ya probados, por lo que disminuye regresiones.</w:t>
      </w:r>
    </w:p>
    <w:p>
      <w:pPr/>
      <w:r>
        <w:rPr>
          <w:b/>
          <w:sz w:val="24"/>
        </w:rPr>
        <w:t xml:space="preserve">Ejemplo de un nuevo descuento sin modificar código existente</w:t>
      </w:r>
    </w:p>
    <w:p>
      <w:pPr/>
      <w:r>
        <w:rPr>
          <w:sz w:val="22"/>
        </w:rPr>
        <w:t xml:space="preserve">Crear DescuentoMayorista que implemente IDescuentoStrategy y registrar: DescuentoFactory.registrar("MAYORISTA", new DescuentoMayorista()). El servicio central permanece igual.</w:t>
      </w:r>
    </w:p>
    <w:sectPr>
      <w:pgSz w:w="12240" w:h="15840"/>
      <w:pgMar w:top="1440" w:right="1440" w:bottom="1440" w:left="1440"/>
    </w:sectPr>
  </w:body>
</w:document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png"/><Relationship Id="rId3" Type="http://schemas.openxmlformats.org/officeDocument/2006/relationships/image" Target="media/image3.png"/><Relationship Id="rId4" Type="http://schemas.openxmlformats.org/officeDocument/2006/relationships/image" Target="media/image4.png"/><Relationship Id="rId5" Type="http://schemas.openxmlformats.org/officeDocument/2006/relationships/image" Target="media/image5.png"/></Relationships>
</file>