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B789" w14:textId="77777777" w:rsidR="00286B77" w:rsidRDefault="00000000">
      <w:pPr>
        <w:spacing w:before="2200"/>
        <w:jc w:val="center"/>
      </w:pPr>
      <w:r>
        <w:rPr>
          <w:b/>
          <w:sz w:val="40"/>
        </w:rPr>
        <w:t>INFORME 1</w:t>
      </w:r>
    </w:p>
    <w:p w14:paraId="0CC2CEC0" w14:textId="77777777" w:rsidR="00286B77" w:rsidRDefault="00000000">
      <w:pPr>
        <w:jc w:val="center"/>
      </w:pPr>
      <w:r>
        <w:rPr>
          <w:b/>
          <w:sz w:val="32"/>
        </w:rPr>
        <w:t>Avance del informe</w:t>
      </w:r>
    </w:p>
    <w:p w14:paraId="28825645" w14:textId="77777777" w:rsidR="00286B77" w:rsidRDefault="00286B77">
      <w:pPr>
        <w:spacing w:after="0"/>
      </w:pPr>
    </w:p>
    <w:p w14:paraId="2B346996" w14:textId="77777777" w:rsidR="00286B77" w:rsidRDefault="00286B77">
      <w:pPr>
        <w:spacing w:after="0"/>
      </w:pPr>
    </w:p>
    <w:p w14:paraId="14C37523" w14:textId="77777777" w:rsidR="00286B77" w:rsidRDefault="00286B77">
      <w:pPr>
        <w:spacing w:after="0"/>
      </w:pPr>
    </w:p>
    <w:p w14:paraId="29718ACB" w14:textId="77777777" w:rsidR="00286B77" w:rsidRDefault="00286B77">
      <w:pPr>
        <w:spacing w:after="0"/>
      </w:pPr>
    </w:p>
    <w:p w14:paraId="03E667BD" w14:textId="77777777" w:rsidR="00286B77" w:rsidRDefault="00286B77">
      <w:pPr>
        <w:spacing w:after="0"/>
      </w:pPr>
    </w:p>
    <w:p w14:paraId="392676E8" w14:textId="77777777" w:rsidR="00286B77" w:rsidRDefault="00000000">
      <w:pPr>
        <w:jc w:val="center"/>
      </w:pPr>
      <w:r>
        <w:t>Título del informe:  Captación de demanda potencial de los centros comerciales de Chillán: análisis espacial aplicado a decisiones de localización de nuevos locales</w:t>
      </w:r>
    </w:p>
    <w:p w14:paraId="13AC736E" w14:textId="470C310D" w:rsidR="00286B77" w:rsidRDefault="00000000">
      <w:pPr>
        <w:jc w:val="center"/>
      </w:pPr>
      <w:r>
        <w:t xml:space="preserve">Autor(es):  </w:t>
      </w:r>
      <w:r w:rsidR="00F95DD0">
        <w:t>Cristóbal</w:t>
      </w:r>
      <w:r>
        <w:t xml:space="preserve"> Sepúlveda </w:t>
      </w:r>
      <w:proofErr w:type="spellStart"/>
      <w:r>
        <w:t>Sepúlveda</w:t>
      </w:r>
      <w:proofErr w:type="spellEnd"/>
      <w:r>
        <w:t xml:space="preserve"> y Eduardo Guerrero</w:t>
      </w:r>
      <w:r w:rsidR="00F95DD0">
        <w:t xml:space="preserve"> Castro</w:t>
      </w:r>
    </w:p>
    <w:p w14:paraId="59D511EF" w14:textId="77777777" w:rsidR="00286B77" w:rsidRDefault="00000000">
      <w:pPr>
        <w:jc w:val="center"/>
      </w:pPr>
      <w:r>
        <w:t>Asignatura:  Análisis Espacial para la Gestión Empresarial (136281)</w:t>
      </w:r>
    </w:p>
    <w:p w14:paraId="5E1DE8E5" w14:textId="77777777" w:rsidR="00286B77" w:rsidRDefault="00000000">
      <w:pPr>
        <w:jc w:val="center"/>
      </w:pPr>
      <w:r>
        <w:t>Docente:  Mauricio Oyarzo Aguilar</w:t>
      </w:r>
    </w:p>
    <w:p w14:paraId="3C7C88AF" w14:textId="77777777" w:rsidR="00286B77" w:rsidRDefault="00000000">
      <w:pPr>
        <w:jc w:val="center"/>
      </w:pPr>
      <w:r>
        <w:t>Fecha:  11 de septiembre de 2026</w:t>
      </w:r>
    </w:p>
    <w:p w14:paraId="10948635" w14:textId="77777777" w:rsidR="00286B77" w:rsidRDefault="00000000">
      <w:r>
        <w:br w:type="page"/>
      </w:r>
    </w:p>
    <w:p w14:paraId="2CED508F" w14:textId="77777777" w:rsidR="00286B77" w:rsidRDefault="00000000">
      <w:pPr>
        <w:pStyle w:val="Ttulo1"/>
      </w:pPr>
      <w:r>
        <w:lastRenderedPageBreak/>
        <w:t>Índice</w:t>
      </w:r>
    </w:p>
    <w:p w14:paraId="2738455C" w14:textId="77777777" w:rsidR="00286B77" w:rsidRDefault="00000000">
      <w:fldSimple w:instr=" TOC \o &quot;1-3&quot; \h \z \u ">
        <w:r>
          <w:t>Actualiza el índice en Word: clic derecho sobre él → Actualizar campos → Actualizar toda la tabla.</w:t>
        </w:r>
      </w:fldSimple>
    </w:p>
    <w:p w14:paraId="34C991DF" w14:textId="77777777" w:rsidR="00286B77" w:rsidRDefault="00000000">
      <w:pPr>
        <w:pStyle w:val="Ttulo1"/>
      </w:pPr>
      <w:r>
        <w:t>1. Planteamiento del problema y pregunta de investigación</w:t>
      </w:r>
    </w:p>
    <w:p w14:paraId="33EDDB60" w14:textId="77777777" w:rsidR="00286B77" w:rsidRDefault="00000000">
      <w:pPr>
        <w:pStyle w:val="Ttulo2"/>
      </w:pPr>
      <w:r>
        <w:t>1.1 Delimitación del problema</w:t>
      </w:r>
    </w:p>
    <w:p w14:paraId="4705B0AA" w14:textId="77777777" w:rsidR="00286B77" w:rsidRDefault="00000000">
      <w:pPr>
        <w:spacing w:after="160"/>
        <w:jc w:val="both"/>
      </w:pPr>
      <w:r>
        <w:t>Un operador que evalúa abrir un nuevo local comercial en Chillán enfrenta una decisión de localización con información limitada sobre la distribución territorial de la demanda potencial. El problema no consiste únicamente en conocer el tamaño del mercado, sino en identificar dónde se concentra la población que podría representar una oportunidad comercial y cómo esta se distribuye en relación con los centros comerciales existentes. La demanda potencial no necesariamente se distribuye de manera uniforme en el territorio. Sectores con una cantidad similar de habitantes pueden presentar oportunidades comerciales diferentes debido a sus características demográficas y socioeconómicas y a su posición respecto de la oferta comercial existente. Por ello, resulta relevante caracterizar espacialmente la demanda potencial de Chillán y Chillán Viejo, identificando diferencias y concentraciones territoriales que permitan posteriormente evaluar las oportunidades de localización de nuevos locales.</w:t>
      </w:r>
    </w:p>
    <w:p w14:paraId="40574BD7" w14:textId="77777777" w:rsidR="00286B77" w:rsidRDefault="00000000">
      <w:pPr>
        <w:spacing w:after="160"/>
        <w:jc w:val="both"/>
      </w:pPr>
      <w:r>
        <w:t>En este informe se entiende por demanda potencial de una manzana la combinación de dos elementos: el tamaño de su población residente y su capacidad de gasto estimada a partir de variables socioeconómicas del Censo 2024. La construcción concreta del indicador se detalla en el apartado 2.4.</w:t>
      </w:r>
    </w:p>
    <w:p w14:paraId="70054807" w14:textId="77777777" w:rsidR="00286B77" w:rsidRDefault="00000000">
      <w:pPr>
        <w:spacing w:after="160"/>
        <w:jc w:val="both"/>
      </w:pPr>
      <w:r>
        <w:t>Decisión que se busca apoyar: dónde localizar un nuevo local comercial en Chillán y Chillán Viejo. Este avance no busca resolver directamente esa decisión, sino caracterizar territorialmente la demanda potencial como antecedente para su posterior análisis.</w:t>
      </w:r>
    </w:p>
    <w:p w14:paraId="15A914FB" w14:textId="77777777" w:rsidR="00286B77" w:rsidRDefault="00000000">
      <w:pPr>
        <w:pStyle w:val="Ttulo2"/>
      </w:pPr>
      <w:r>
        <w:t>1.2 Relevancia del problema</w:t>
      </w:r>
    </w:p>
    <w:p w14:paraId="12968BF9" w14:textId="77777777" w:rsidR="00286B77" w:rsidRDefault="00000000">
      <w:pPr>
        <w:spacing w:after="160"/>
        <w:jc w:val="both"/>
      </w:pPr>
      <w:r>
        <w:t>La localización de un nuevo local comercial constituye una decisión relevante, ya que la ubicación puede condicionar el acceso a los potenciales clientes y la relación del establecimiento con la oferta comercial existente. Además, es una decisión difícil de revertir: el arriendo compromete recursos por plazos largos y el local no se traslada. En este contexto, analizar la distribución territorial de la demanda potencial permite obtener información que no se observa al considerar únicamente el mercado a escala comunal.</w:t>
      </w:r>
    </w:p>
    <w:p w14:paraId="34847812" w14:textId="77777777" w:rsidR="00286B77" w:rsidRDefault="00000000">
      <w:pPr>
        <w:spacing w:after="160"/>
        <w:jc w:val="both"/>
      </w:pPr>
      <w:r>
        <w:t>Para el caso de Chillán y Chillán Viejo, caracterizar esta distribución permite identificar diferencias entre sectores y establecer una base para evaluar posteriormente qué áreas presentan mejores condiciones para la localización de nuevos locales, así como detectar sectores con demanda potencial alta y sin oferta comercial cercana. De esta manera, el análisis busca aportar evidencia territorial que apoye una decisión empresarial, reduciendo la dependencia de criterios generales y permitiendo incorporar explícitamente las diferencias existentes dentro del territorio.</w:t>
      </w:r>
    </w:p>
    <w:p w14:paraId="58FF0F3F" w14:textId="77777777" w:rsidR="00286B77" w:rsidRDefault="00000000">
      <w:pPr>
        <w:pStyle w:val="Ttulo2"/>
      </w:pPr>
      <w:r>
        <w:lastRenderedPageBreak/>
        <w:t>1.3 Relevancia de la dimensión espacial</w:t>
      </w:r>
    </w:p>
    <w:p w14:paraId="4BF8D361" w14:textId="77777777" w:rsidR="00286B77" w:rsidRDefault="00000000">
      <w:pPr>
        <w:spacing w:after="160"/>
        <w:jc w:val="both"/>
      </w:pPr>
      <w:r>
        <w:t>La dimensión espacial es relevante porque la demanda potencial y la oferta comercial se distribuyen territorialmente y, por lo tanto, no pueden ser caracterizadas adecuadamente considerando únicamente valores agregados para toda la comuna. La ubicación de la población y de los centros comerciales permite observar diferencias entre sectores que quedarían ocultas al trabajar solamente con información comunal.</w:t>
      </w:r>
    </w:p>
    <w:p w14:paraId="23D214DE" w14:textId="77777777" w:rsidR="00286B77" w:rsidRDefault="00000000">
      <w:pPr>
        <w:spacing w:after="160"/>
        <w:jc w:val="both"/>
      </w:pPr>
      <w:r>
        <w:t>Ahora bien, la relevancia espacial no se agota en desagregar la información. La demanda que puede captar un local no se encuentra en la manzana donde este se ubica, sino en las manzanas de su entorno, ya que el consumidor se desplaza. Esto implica que la variable relevante para evaluar un emplazamiento no es su atributo propio, sino el de sus vecinos, lo que obliga a incorporar distancia y vecindad y no solamente a trabajar con una unidad territorial más pequeña.</w:t>
      </w:r>
    </w:p>
    <w:p w14:paraId="4D776050" w14:textId="77777777" w:rsidR="00286B77" w:rsidRDefault="00000000">
      <w:pPr>
        <w:spacing w:after="160"/>
        <w:jc w:val="both"/>
      </w:pPr>
      <w:r>
        <w:t>A ello se suma que tamaño de la población y capacidad de gasto no coinciden espacialmente. En los datos procesados para este avance, el índice socioeconómico construido presenta una correlación de 0,06 con la población de la manzana: saber cuánta gente reside en un sector prácticamente no informa sobre su capacidad de consumo. El mapa de la población y el mapa de la demanda potencial son, entonces, mapas distintos, y esa diferencia es justamente la que una decisión de localización necesita observar.</w:t>
      </w:r>
    </w:p>
    <w:p w14:paraId="77B6CAD4" w14:textId="77777777" w:rsidR="00286B77" w:rsidRDefault="00000000">
      <w:pPr>
        <w:spacing w:after="160"/>
        <w:jc w:val="both"/>
      </w:pPr>
      <w:r>
        <w:t>Por estas razones, representar la demanda potencial y los centros comerciales en el espacio permite identificar diferencias y posibles concentraciones territoriales que posteriormente podrán ser analizadas mediante las herramientas de análisis espacial del curso.</w:t>
      </w:r>
    </w:p>
    <w:p w14:paraId="3A902B31" w14:textId="77777777" w:rsidR="00286B77" w:rsidRDefault="00000000">
      <w:pPr>
        <w:pStyle w:val="Ttulo2"/>
      </w:pPr>
      <w:r>
        <w:t>1.4 Pregunta de investigación</w:t>
      </w:r>
    </w:p>
    <w:p w14:paraId="47D5BA29" w14:textId="77777777" w:rsidR="00286B77" w:rsidRDefault="00000000">
      <w:pPr>
        <w:spacing w:after="160"/>
        <w:jc w:val="both"/>
      </w:pPr>
      <w:r>
        <w:t>¿Cómo se distribuye espacialmente la demanda potencial de consumo en el área urbana de Chillán y Chillán Viejo, y qué sectores presentan mayor demanda potencial en relación con la localización de los centros comerciales existentes, como antecedente para decidir dónde localizar nuevos locales comerciales?</w:t>
      </w:r>
    </w:p>
    <w:p w14:paraId="6D539C0C" w14:textId="77777777" w:rsidR="00286B77" w:rsidRDefault="00000000">
      <w:pPr>
        <w:spacing w:after="160"/>
        <w:jc w:val="both"/>
      </w:pPr>
      <w:r>
        <w:rPr>
          <w:i/>
          <w:sz w:val="20"/>
        </w:rPr>
        <w:t>La pregunta incorpora los cuatro componentes exigidos: la unidad territorial (manzana censal urbana), la variable de interés (demanda potencial de consumo), el mecanismo espacial (la demanda que capta un establecimiento se localiza en las manzanas de su entorno) y la decisión asociada (la localización de nuevos locales comerciales).</w:t>
      </w:r>
    </w:p>
    <w:p w14:paraId="3B965A71" w14:textId="77777777" w:rsidR="00286B77" w:rsidRDefault="00000000">
      <w:pPr>
        <w:pStyle w:val="Ttulo2"/>
      </w:pPr>
      <w:r>
        <w:t>1.5 Unidad espacial de análisis</w:t>
      </w:r>
    </w:p>
    <w:p w14:paraId="1218720D" w14:textId="77777777" w:rsidR="00286B77" w:rsidRDefault="00000000">
      <w:pPr>
        <w:spacing w:after="160"/>
        <w:jc w:val="both"/>
      </w:pPr>
      <w:r>
        <w:t>La unidad espacial de análisis corresponde a la manzana censal urbana de Chillán y Chillán Viejo, que reúne 2.998 unidades y 194.344 habitantes. Esta unidad permite vincular la información del Censo 2024 con la cartografía censal y representar territorialmente las características de la población y los hogares. A esta escala también es posible incorporar la ubicación de los centros comerciales georreferenciados, permitiendo comparar la distribución de la demanda potencial con la oferta comercial existente.</w:t>
      </w:r>
    </w:p>
    <w:p w14:paraId="4EDC1DC3" w14:textId="77777777" w:rsidR="00286B77" w:rsidRDefault="00000000">
      <w:pPr>
        <w:spacing w:after="160"/>
        <w:jc w:val="both"/>
      </w:pPr>
      <w:r>
        <w:t xml:space="preserve">La elección de la manzana busca trabajar con una unidad espacial suficientemente desagregada para observar diferencias territoriales dentro de la ciudad, evitando limitar el análisis a valores agregados de escala comunal. Además, su escala es compatible con el </w:t>
      </w:r>
      <w:r>
        <w:lastRenderedPageBreak/>
        <w:t>mecanismo que se quiere representar: el radio de captación de un local comercial se mide en cientos de metros, de modo que una unidad más gruesa —como la zona censal— no permitiría distinguir diferencias dentro de una misma área de influencia.</w:t>
      </w:r>
    </w:p>
    <w:p w14:paraId="6D6E8ECA" w14:textId="77777777" w:rsidR="00286B77" w:rsidRDefault="00000000">
      <w:pPr>
        <w:spacing w:after="160"/>
        <w:jc w:val="both"/>
      </w:pPr>
      <w:r>
        <w:t>Se reconoce que la elección de la unidad puede alterar la lectura del fenómeno (problema de la unidad espacial modificable, MAUP). Como contraste de sensibilidad, en etapas posteriores el análisis se replicará a nivel de zona censal.</w:t>
      </w:r>
    </w:p>
    <w:p w14:paraId="4568CA20" w14:textId="77777777" w:rsidR="00286B77" w:rsidRDefault="00000000">
      <w:pPr>
        <w:pStyle w:val="Ttulo2"/>
      </w:pPr>
      <w:r>
        <w:t>1.6 Objetivo general</w:t>
      </w:r>
    </w:p>
    <w:p w14:paraId="601F1972" w14:textId="77777777" w:rsidR="00286B77" w:rsidRDefault="00000000">
      <w:pPr>
        <w:spacing w:after="160"/>
        <w:jc w:val="both"/>
      </w:pPr>
      <w:r>
        <w:t>Caracterizar espacialmente la demanda potencial de consumo en el área urbana de Chillán y Chillán Viejo mediante información censal y cartográfica, incorporando la ubicación de los centros comerciales existentes como referencia de la oferta territorial, con el propósito de establecer una base para el posterior análisis de oportunidades de localización de nuevos locales comerciales.</w:t>
      </w:r>
    </w:p>
    <w:p w14:paraId="242012DE" w14:textId="77777777" w:rsidR="00286B77" w:rsidRDefault="00000000">
      <w:pPr>
        <w:spacing w:after="160"/>
        <w:jc w:val="both"/>
      </w:pPr>
      <w:r>
        <w:t>Objetivos específicos del avance:</w:t>
      </w:r>
    </w:p>
    <w:p w14:paraId="7D808A10" w14:textId="77777777" w:rsidR="00286B77" w:rsidRDefault="00000000">
      <w:pPr>
        <w:spacing w:after="160"/>
        <w:jc w:val="both"/>
      </w:pPr>
      <w:r>
        <w:t>1.  Construir y documentar una base georreferenciada de manzanas censales urbanas con variables de demanda potencial provenientes del Censo 2024.</w:t>
      </w:r>
    </w:p>
    <w:p w14:paraId="473D8997" w14:textId="77777777" w:rsidR="00286B77" w:rsidRDefault="00000000">
      <w:pPr>
        <w:spacing w:after="160"/>
        <w:jc w:val="both"/>
      </w:pPr>
      <w:r>
        <w:t>2.  Geocodificar y documentar la localización de los centros comerciales, galerías y edificios de oficinas de Chillán y Chillán Viejo.</w:t>
      </w:r>
    </w:p>
    <w:p w14:paraId="1ED43069" w14:textId="77777777" w:rsidR="00286B77" w:rsidRDefault="00000000">
      <w:pPr>
        <w:spacing w:after="160"/>
        <w:jc w:val="both"/>
      </w:pPr>
      <w:r>
        <w:t>3.  Construir un indicador de demanda potencial por manzana y describir su distribución estadística.</w:t>
      </w:r>
    </w:p>
    <w:p w14:paraId="4D51FBB8" w14:textId="77777777" w:rsidR="00286B77" w:rsidRDefault="00000000">
      <w:pPr>
        <w:spacing w:after="160"/>
        <w:jc w:val="both"/>
      </w:pPr>
      <w:r>
        <w:t>4.  Elaborar la cartografía temática inicial e identificar visualmente los patrones territoriales.</w:t>
      </w:r>
    </w:p>
    <w:p w14:paraId="5D3297EF" w14:textId="77777777" w:rsidR="00286B77" w:rsidRDefault="00000000">
      <w:pPr>
        <w:pStyle w:val="Ttulo1"/>
      </w:pPr>
      <w:r>
        <w:t>2. Datos y estadísticas iniciales</w:t>
      </w:r>
    </w:p>
    <w:p w14:paraId="78FBA0B6" w14:textId="77777777" w:rsidR="00286B77" w:rsidRDefault="00000000">
      <w:pPr>
        <w:pStyle w:val="Ttulo2"/>
      </w:pPr>
      <w:r>
        <w:t>2.1 Fuentes de información</w:t>
      </w:r>
    </w:p>
    <w:tbl>
      <w:tblPr>
        <w:tblStyle w:val="Tablaconcuadrcula"/>
        <w:tblW w:w="0" w:type="auto"/>
        <w:jc w:val="center"/>
        <w:tblLook w:val="04A0" w:firstRow="1" w:lastRow="0" w:firstColumn="1" w:lastColumn="0" w:noHBand="0" w:noVBand="1"/>
      </w:tblPr>
      <w:tblGrid>
        <w:gridCol w:w="1820"/>
        <w:gridCol w:w="1964"/>
        <w:gridCol w:w="1566"/>
        <w:gridCol w:w="3988"/>
      </w:tblGrid>
      <w:tr w:rsidR="00286B77" w14:paraId="336C34E4" w14:textId="77777777">
        <w:trPr>
          <w:jc w:val="center"/>
        </w:trPr>
        <w:tc>
          <w:tcPr>
            <w:tcW w:w="2280" w:type="dxa"/>
            <w:vAlign w:val="center"/>
          </w:tcPr>
          <w:p w14:paraId="68514DBE" w14:textId="77777777" w:rsidR="00286B77" w:rsidRDefault="00000000">
            <w:r>
              <w:rPr>
                <w:b/>
              </w:rPr>
              <w:t>Fuente</w:t>
            </w:r>
          </w:p>
        </w:tc>
        <w:tc>
          <w:tcPr>
            <w:tcW w:w="2280" w:type="dxa"/>
            <w:vAlign w:val="center"/>
          </w:tcPr>
          <w:p w14:paraId="122053F5" w14:textId="77777777" w:rsidR="00286B77" w:rsidRDefault="00000000">
            <w:r>
              <w:rPr>
                <w:b/>
              </w:rPr>
              <w:t>Descripción</w:t>
            </w:r>
          </w:p>
        </w:tc>
        <w:tc>
          <w:tcPr>
            <w:tcW w:w="2280" w:type="dxa"/>
            <w:vAlign w:val="center"/>
          </w:tcPr>
          <w:p w14:paraId="7D41A0FD" w14:textId="77777777" w:rsidR="00286B77" w:rsidRDefault="00000000">
            <w:r>
              <w:rPr>
                <w:b/>
              </w:rPr>
              <w:t>Año</w:t>
            </w:r>
          </w:p>
        </w:tc>
        <w:tc>
          <w:tcPr>
            <w:tcW w:w="2280" w:type="dxa"/>
            <w:vAlign w:val="center"/>
          </w:tcPr>
          <w:p w14:paraId="59C9F295" w14:textId="77777777" w:rsidR="00286B77" w:rsidRDefault="00000000">
            <w:r>
              <w:rPr>
                <w:b/>
              </w:rPr>
              <w:t>Enlace / referencia</w:t>
            </w:r>
          </w:p>
        </w:tc>
      </w:tr>
      <w:tr w:rsidR="00286B77" w14:paraId="46C9277C" w14:textId="77777777">
        <w:trPr>
          <w:jc w:val="center"/>
        </w:trPr>
        <w:tc>
          <w:tcPr>
            <w:tcW w:w="2280" w:type="dxa"/>
          </w:tcPr>
          <w:p w14:paraId="5935E4D8" w14:textId="77777777" w:rsidR="00286B77" w:rsidRDefault="00000000">
            <w:pPr>
              <w:spacing w:after="40"/>
            </w:pPr>
            <w:r>
              <w:rPr>
                <w:sz w:val="18"/>
              </w:rPr>
              <w:t>Cartografía censal y base de manzanas — Censo de Población y Vivienda 2024</w:t>
            </w:r>
          </w:p>
        </w:tc>
        <w:tc>
          <w:tcPr>
            <w:tcW w:w="2280" w:type="dxa"/>
          </w:tcPr>
          <w:p w14:paraId="03992064" w14:textId="77777777" w:rsidR="00286B77" w:rsidRDefault="00000000">
            <w:pPr>
              <w:spacing w:after="40"/>
            </w:pPr>
            <w:r>
              <w:rPr>
                <w:sz w:val="18"/>
              </w:rPr>
              <w:t>Polígonos de manzana censal de la Región de Ñuble con 190 variables agregadas de población, hogares y viviendas. Se filtró a las comunas de Chillán y Chillán Viejo y al área urbana.</w:t>
            </w:r>
          </w:p>
        </w:tc>
        <w:tc>
          <w:tcPr>
            <w:tcW w:w="2280" w:type="dxa"/>
          </w:tcPr>
          <w:p w14:paraId="247C61B7" w14:textId="77777777" w:rsidR="00286B77" w:rsidRDefault="00000000">
            <w:pPr>
              <w:spacing w:after="40"/>
            </w:pPr>
            <w:r>
              <w:rPr>
                <w:sz w:val="18"/>
              </w:rPr>
              <w:t>2024</w:t>
            </w:r>
          </w:p>
        </w:tc>
        <w:tc>
          <w:tcPr>
            <w:tcW w:w="2280" w:type="dxa"/>
          </w:tcPr>
          <w:p w14:paraId="52BD6499" w14:textId="77777777" w:rsidR="00286B77" w:rsidRDefault="00000000">
            <w:pPr>
              <w:spacing w:after="40"/>
            </w:pPr>
            <w:r>
              <w:rPr>
                <w:sz w:val="18"/>
              </w:rPr>
              <w:t>Instituto Nacional de Estadísticas (INE), Cartografía Censo 2024, archivo Cartografia_censo2024_R16.gpkg</w:t>
            </w:r>
          </w:p>
        </w:tc>
      </w:tr>
      <w:tr w:rsidR="00286B77" w14:paraId="2D65BBED" w14:textId="77777777">
        <w:trPr>
          <w:jc w:val="center"/>
        </w:trPr>
        <w:tc>
          <w:tcPr>
            <w:tcW w:w="2280" w:type="dxa"/>
          </w:tcPr>
          <w:p w14:paraId="2DFC9B16" w14:textId="77777777" w:rsidR="00286B77" w:rsidRDefault="00000000">
            <w:pPr>
              <w:spacing w:after="40"/>
            </w:pPr>
            <w:r>
              <w:rPr>
                <w:sz w:val="18"/>
              </w:rPr>
              <w:t>Catastro propio de centros comerciales, galerías y edificios de oficinas</w:t>
            </w:r>
          </w:p>
        </w:tc>
        <w:tc>
          <w:tcPr>
            <w:tcW w:w="2280" w:type="dxa"/>
          </w:tcPr>
          <w:p w14:paraId="4ED66911" w14:textId="77777777" w:rsidR="00286B77" w:rsidRDefault="00000000">
            <w:pPr>
              <w:spacing w:after="40"/>
            </w:pPr>
            <w:r>
              <w:rPr>
                <w:sz w:val="18"/>
              </w:rPr>
              <w:t>Levantamiento propio de 31 establecimientos de Chillán y Chillán Viejo, geocodificados y verificados.</w:t>
            </w:r>
          </w:p>
        </w:tc>
        <w:tc>
          <w:tcPr>
            <w:tcW w:w="2280" w:type="dxa"/>
          </w:tcPr>
          <w:p w14:paraId="1289955C" w14:textId="77777777" w:rsidR="00286B77" w:rsidRDefault="00000000">
            <w:pPr>
              <w:spacing w:after="40"/>
            </w:pPr>
            <w:r>
              <w:rPr>
                <w:sz w:val="18"/>
              </w:rPr>
              <w:t>2026</w:t>
            </w:r>
          </w:p>
        </w:tc>
        <w:tc>
          <w:tcPr>
            <w:tcW w:w="2280" w:type="dxa"/>
          </w:tcPr>
          <w:p w14:paraId="43339847" w14:textId="77777777" w:rsidR="00286B77" w:rsidRDefault="00000000">
            <w:pPr>
              <w:spacing w:after="40"/>
            </w:pPr>
            <w:r>
              <w:rPr>
                <w:sz w:val="18"/>
              </w:rPr>
              <w:t>Elaboración propia; direcciones y coordenadas obtenidas en Google Maps (09-09-2026) y contrastadas con OpenStreetMap</w:t>
            </w:r>
          </w:p>
        </w:tc>
      </w:tr>
      <w:tr w:rsidR="00286B77" w14:paraId="6D92081F" w14:textId="77777777">
        <w:trPr>
          <w:jc w:val="center"/>
        </w:trPr>
        <w:tc>
          <w:tcPr>
            <w:tcW w:w="2280" w:type="dxa"/>
          </w:tcPr>
          <w:p w14:paraId="32E74EA9" w14:textId="77777777" w:rsidR="00286B77" w:rsidRDefault="00000000">
            <w:pPr>
              <w:spacing w:after="40"/>
            </w:pPr>
            <w:r>
              <w:rPr>
                <w:sz w:val="18"/>
              </w:rPr>
              <w:t>Diccionario de variables geográficas CPV 2024</w:t>
            </w:r>
          </w:p>
        </w:tc>
        <w:tc>
          <w:tcPr>
            <w:tcW w:w="2280" w:type="dxa"/>
          </w:tcPr>
          <w:p w14:paraId="6EC181E2" w14:textId="77777777" w:rsidR="00286B77" w:rsidRDefault="00000000">
            <w:pPr>
              <w:spacing w:after="40"/>
            </w:pPr>
            <w:r>
              <w:rPr>
                <w:sz w:val="18"/>
              </w:rPr>
              <w:t xml:space="preserve">Documentación oficial de las variables de la base censal, utilizada para </w:t>
            </w:r>
            <w:r>
              <w:rPr>
                <w:sz w:val="18"/>
              </w:rPr>
              <w:lastRenderedPageBreak/>
              <w:t>seleccionar e interpretar los indicadores.</w:t>
            </w:r>
          </w:p>
        </w:tc>
        <w:tc>
          <w:tcPr>
            <w:tcW w:w="2280" w:type="dxa"/>
          </w:tcPr>
          <w:p w14:paraId="10A0A8CD" w14:textId="77777777" w:rsidR="00286B77" w:rsidRDefault="00000000">
            <w:pPr>
              <w:spacing w:after="40"/>
            </w:pPr>
            <w:r>
              <w:rPr>
                <w:sz w:val="18"/>
              </w:rPr>
              <w:lastRenderedPageBreak/>
              <w:t>2024</w:t>
            </w:r>
          </w:p>
        </w:tc>
        <w:tc>
          <w:tcPr>
            <w:tcW w:w="2280" w:type="dxa"/>
          </w:tcPr>
          <w:p w14:paraId="7E7870F3" w14:textId="77777777" w:rsidR="00286B77" w:rsidRDefault="00000000">
            <w:pPr>
              <w:spacing w:after="40"/>
            </w:pPr>
            <w:r>
              <w:rPr>
                <w:sz w:val="18"/>
              </w:rPr>
              <w:t>Instituto Nacional de Estadísticas (INE), Diccionario_variables_geograficas_CPV24.xlsx</w:t>
            </w:r>
          </w:p>
        </w:tc>
      </w:tr>
    </w:tbl>
    <w:p w14:paraId="164E7231" w14:textId="77777777" w:rsidR="00286B77" w:rsidRDefault="00286B77"/>
    <w:p w14:paraId="5A7F8F0D" w14:textId="77777777" w:rsidR="00286B77" w:rsidRDefault="00000000">
      <w:pPr>
        <w:pStyle w:val="Ttulo2"/>
      </w:pPr>
      <w:r>
        <w:t>2.2 Cobertura geográfica y temporal</w:t>
      </w:r>
    </w:p>
    <w:p w14:paraId="6A9FC9F9" w14:textId="77777777" w:rsidR="00286B77" w:rsidRDefault="00000000">
      <w:pPr>
        <w:spacing w:after="160"/>
        <w:jc w:val="both"/>
      </w:pPr>
      <w:r>
        <w:t>Cobertura geográfica. El análisis abarca el área urbana de las comunas de Chillán y Chillán Viejo, Provincia de Diguillín, Región de Ñuble. Se trabaja con las 2.998 manzanas clasificadas como urbanas (2.642 de Chillán y 356 de Chillán Viejo), que concentran 194.344 habitantes. Se excluyeron 73 manzanas de categoría aldea y rurales presentes en el archivo original, por corresponder a lógicas de accesibilidad y consumo distintas de las urbanas.</w:t>
      </w:r>
    </w:p>
    <w:p w14:paraId="0F145703" w14:textId="77777777" w:rsidR="00286B77" w:rsidRDefault="00000000">
      <w:pPr>
        <w:spacing w:after="160"/>
        <w:jc w:val="both"/>
      </w:pPr>
      <w:r>
        <w:t>Cobertura temporal. Los datos de demanda corresponden al Censo de Población y Vivienda levantado en 2024, que constituye la fuente sociodemográfica más reciente disponible a nivel de manzana. El catastro de la oferta comercial refleja la situación observada en septiembre de 2026. Existe, por lo tanto, un desfase de aproximadamente dos años entre ambas capas, que se declara como limitación en el apartado 2.8.</w:t>
      </w:r>
    </w:p>
    <w:p w14:paraId="1A5AC3BE" w14:textId="77777777" w:rsidR="00286B77" w:rsidRDefault="00000000">
      <w:pPr>
        <w:pStyle w:val="Ttulo2"/>
      </w:pPr>
      <w:r>
        <w:t>2.3 Unidad espacial de observación</w:t>
      </w:r>
    </w:p>
    <w:p w14:paraId="27140599" w14:textId="77777777" w:rsidR="00286B77" w:rsidRDefault="00000000">
      <w:pPr>
        <w:spacing w:after="160"/>
        <w:jc w:val="both"/>
      </w:pPr>
      <w:r>
        <w:t>Las dos capas utilizadas tienen unidades de observación distintas y se integran espacialmente, no mediante un identificador común.</w:t>
      </w:r>
    </w:p>
    <w:p w14:paraId="4627938D" w14:textId="77777777" w:rsidR="00286B77" w:rsidRDefault="00000000">
      <w:pPr>
        <w:spacing w:after="160"/>
        <w:jc w:val="both"/>
      </w:pPr>
      <w:r>
        <w:t>La base censal se organiza por manzana censal, identificada por el código MANZENT, y su geometría es un polígono. Cada registro reúne los totales de población, hogares y viviendas de esa manzana. Coincide con la unidad de análisis definida en el apartado 1.5.</w:t>
      </w:r>
    </w:p>
    <w:p w14:paraId="7754614F" w14:textId="77777777" w:rsidR="00286B77" w:rsidRDefault="00000000">
      <w:pPr>
        <w:spacing w:after="160"/>
        <w:jc w:val="both"/>
      </w:pPr>
      <w:r>
        <w:t>El catastro comercial se organiza por establecimiento y su geometría es un punto, obtenido por geocodificación de la dirección. La integración entre ambas capas se realiza por relación espacial: cada establecimiento se asocia a la manzana que lo contiene o a la más cercana, y las distancias se calculan desde un punto representativo interior de cada manzana.</w:t>
      </w:r>
    </w:p>
    <w:p w14:paraId="7B2612C6" w14:textId="77777777" w:rsidR="00286B77" w:rsidRDefault="00000000">
      <w:pPr>
        <w:pStyle w:val="Ttulo2"/>
      </w:pPr>
      <w:r>
        <w:t>2.4 Variables principales</w:t>
      </w:r>
    </w:p>
    <w:tbl>
      <w:tblPr>
        <w:tblStyle w:val="Tablaconcuadrcula"/>
        <w:tblW w:w="0" w:type="auto"/>
        <w:jc w:val="center"/>
        <w:tblLook w:val="04A0" w:firstRow="1" w:lastRow="0" w:firstColumn="1" w:lastColumn="0" w:noHBand="0" w:noVBand="1"/>
      </w:tblPr>
      <w:tblGrid>
        <w:gridCol w:w="2280"/>
        <w:gridCol w:w="2280"/>
        <w:gridCol w:w="2280"/>
        <w:gridCol w:w="2280"/>
      </w:tblGrid>
      <w:tr w:rsidR="00286B77" w14:paraId="37D0D45C" w14:textId="77777777">
        <w:trPr>
          <w:jc w:val="center"/>
        </w:trPr>
        <w:tc>
          <w:tcPr>
            <w:tcW w:w="2280" w:type="dxa"/>
            <w:vAlign w:val="center"/>
          </w:tcPr>
          <w:p w14:paraId="7EAB3887" w14:textId="77777777" w:rsidR="00286B77" w:rsidRDefault="00000000">
            <w:r>
              <w:rPr>
                <w:b/>
              </w:rPr>
              <w:t>Variable</w:t>
            </w:r>
          </w:p>
        </w:tc>
        <w:tc>
          <w:tcPr>
            <w:tcW w:w="2280" w:type="dxa"/>
            <w:vAlign w:val="center"/>
          </w:tcPr>
          <w:p w14:paraId="09A483F7" w14:textId="77777777" w:rsidR="00286B77" w:rsidRDefault="00000000">
            <w:r>
              <w:rPr>
                <w:b/>
              </w:rPr>
              <w:t>Descripción</w:t>
            </w:r>
          </w:p>
        </w:tc>
        <w:tc>
          <w:tcPr>
            <w:tcW w:w="2280" w:type="dxa"/>
            <w:vAlign w:val="center"/>
          </w:tcPr>
          <w:p w14:paraId="07674405" w14:textId="77777777" w:rsidR="00286B77" w:rsidRDefault="00000000">
            <w:r>
              <w:rPr>
                <w:b/>
              </w:rPr>
              <w:t>Tipo</w:t>
            </w:r>
          </w:p>
        </w:tc>
        <w:tc>
          <w:tcPr>
            <w:tcW w:w="2280" w:type="dxa"/>
            <w:vAlign w:val="center"/>
          </w:tcPr>
          <w:p w14:paraId="1FA92A84" w14:textId="77777777" w:rsidR="00286B77" w:rsidRDefault="00000000">
            <w:r>
              <w:rPr>
                <w:b/>
              </w:rPr>
              <w:t>Unidad</w:t>
            </w:r>
          </w:p>
        </w:tc>
      </w:tr>
      <w:tr w:rsidR="00286B77" w14:paraId="0DB81537" w14:textId="77777777">
        <w:trPr>
          <w:jc w:val="center"/>
        </w:trPr>
        <w:tc>
          <w:tcPr>
            <w:tcW w:w="2280" w:type="dxa"/>
          </w:tcPr>
          <w:p w14:paraId="616F8F0F" w14:textId="77777777" w:rsidR="00286B77" w:rsidRDefault="00000000">
            <w:pPr>
              <w:spacing w:after="40"/>
            </w:pPr>
            <w:r>
              <w:rPr>
                <w:sz w:val="18"/>
              </w:rPr>
              <w:t>n_per</w:t>
            </w:r>
          </w:p>
        </w:tc>
        <w:tc>
          <w:tcPr>
            <w:tcW w:w="2280" w:type="dxa"/>
          </w:tcPr>
          <w:p w14:paraId="0FD010CA" w14:textId="77777777" w:rsidR="00286B77" w:rsidRDefault="00000000">
            <w:pPr>
              <w:spacing w:after="40"/>
            </w:pPr>
            <w:r>
              <w:rPr>
                <w:sz w:val="18"/>
              </w:rPr>
              <w:t>Población residente en la manzana (Censo 2024)</w:t>
            </w:r>
          </w:p>
        </w:tc>
        <w:tc>
          <w:tcPr>
            <w:tcW w:w="2280" w:type="dxa"/>
          </w:tcPr>
          <w:p w14:paraId="3C20BCCC" w14:textId="77777777" w:rsidR="00286B77" w:rsidRDefault="00000000">
            <w:pPr>
              <w:spacing w:after="40"/>
            </w:pPr>
            <w:r>
              <w:rPr>
                <w:sz w:val="18"/>
              </w:rPr>
              <w:t>Conteo</w:t>
            </w:r>
          </w:p>
        </w:tc>
        <w:tc>
          <w:tcPr>
            <w:tcW w:w="2280" w:type="dxa"/>
          </w:tcPr>
          <w:p w14:paraId="4EF7A66A" w14:textId="77777777" w:rsidR="00286B77" w:rsidRDefault="00000000">
            <w:pPr>
              <w:spacing w:after="40"/>
            </w:pPr>
            <w:r>
              <w:rPr>
                <w:sz w:val="18"/>
              </w:rPr>
              <w:t>Personas</w:t>
            </w:r>
          </w:p>
        </w:tc>
      </w:tr>
      <w:tr w:rsidR="00286B77" w14:paraId="5BC0CAD5" w14:textId="77777777">
        <w:trPr>
          <w:jc w:val="center"/>
        </w:trPr>
        <w:tc>
          <w:tcPr>
            <w:tcW w:w="2280" w:type="dxa"/>
          </w:tcPr>
          <w:p w14:paraId="6A129740" w14:textId="77777777" w:rsidR="00286B77" w:rsidRDefault="00000000">
            <w:pPr>
              <w:spacing w:after="40"/>
            </w:pPr>
            <w:r>
              <w:rPr>
                <w:sz w:val="18"/>
              </w:rPr>
              <w:t>n_hog</w:t>
            </w:r>
          </w:p>
        </w:tc>
        <w:tc>
          <w:tcPr>
            <w:tcW w:w="2280" w:type="dxa"/>
          </w:tcPr>
          <w:p w14:paraId="66415BE6" w14:textId="77777777" w:rsidR="00286B77" w:rsidRDefault="00000000">
            <w:pPr>
              <w:spacing w:after="40"/>
            </w:pPr>
            <w:r>
              <w:rPr>
                <w:sz w:val="18"/>
              </w:rPr>
              <w:t>Número de hogares en la manzana</w:t>
            </w:r>
          </w:p>
        </w:tc>
        <w:tc>
          <w:tcPr>
            <w:tcW w:w="2280" w:type="dxa"/>
          </w:tcPr>
          <w:p w14:paraId="746F64BD" w14:textId="77777777" w:rsidR="00286B77" w:rsidRDefault="00000000">
            <w:pPr>
              <w:spacing w:after="40"/>
            </w:pPr>
            <w:r>
              <w:rPr>
                <w:sz w:val="18"/>
              </w:rPr>
              <w:t>Conteo</w:t>
            </w:r>
          </w:p>
        </w:tc>
        <w:tc>
          <w:tcPr>
            <w:tcW w:w="2280" w:type="dxa"/>
          </w:tcPr>
          <w:p w14:paraId="70788CDC" w14:textId="77777777" w:rsidR="00286B77" w:rsidRDefault="00000000">
            <w:pPr>
              <w:spacing w:after="40"/>
            </w:pPr>
            <w:r>
              <w:rPr>
                <w:sz w:val="18"/>
              </w:rPr>
              <w:t>Hogares</w:t>
            </w:r>
          </w:p>
        </w:tc>
      </w:tr>
      <w:tr w:rsidR="00286B77" w14:paraId="2D80459A" w14:textId="77777777">
        <w:trPr>
          <w:jc w:val="center"/>
        </w:trPr>
        <w:tc>
          <w:tcPr>
            <w:tcW w:w="2280" w:type="dxa"/>
          </w:tcPr>
          <w:p w14:paraId="0E323169" w14:textId="77777777" w:rsidR="00286B77" w:rsidRDefault="00000000">
            <w:pPr>
              <w:spacing w:after="40"/>
            </w:pPr>
            <w:r>
              <w:rPr>
                <w:sz w:val="18"/>
              </w:rPr>
              <w:t>prom_escolaridad18</w:t>
            </w:r>
          </w:p>
        </w:tc>
        <w:tc>
          <w:tcPr>
            <w:tcW w:w="2280" w:type="dxa"/>
          </w:tcPr>
          <w:p w14:paraId="369E4F6E" w14:textId="77777777" w:rsidR="00286B77" w:rsidRDefault="00000000">
            <w:pPr>
              <w:spacing w:after="40"/>
            </w:pPr>
            <w:r>
              <w:rPr>
                <w:sz w:val="18"/>
              </w:rPr>
              <w:t>Escolaridad promedio de la población de 18 años y más</w:t>
            </w:r>
          </w:p>
        </w:tc>
        <w:tc>
          <w:tcPr>
            <w:tcW w:w="2280" w:type="dxa"/>
          </w:tcPr>
          <w:p w14:paraId="7259F0F8" w14:textId="77777777" w:rsidR="00286B77" w:rsidRDefault="00000000">
            <w:pPr>
              <w:spacing w:after="40"/>
            </w:pPr>
            <w:r>
              <w:rPr>
                <w:sz w:val="18"/>
              </w:rPr>
              <w:t>Continua</w:t>
            </w:r>
          </w:p>
        </w:tc>
        <w:tc>
          <w:tcPr>
            <w:tcW w:w="2280" w:type="dxa"/>
          </w:tcPr>
          <w:p w14:paraId="7F7E5B44" w14:textId="77777777" w:rsidR="00286B77" w:rsidRDefault="00000000">
            <w:pPr>
              <w:spacing w:after="40"/>
            </w:pPr>
            <w:r>
              <w:rPr>
                <w:sz w:val="18"/>
              </w:rPr>
              <w:t>Años de estudio</w:t>
            </w:r>
          </w:p>
        </w:tc>
      </w:tr>
      <w:tr w:rsidR="00286B77" w14:paraId="08B2330C" w14:textId="77777777">
        <w:trPr>
          <w:jc w:val="center"/>
        </w:trPr>
        <w:tc>
          <w:tcPr>
            <w:tcW w:w="2280" w:type="dxa"/>
          </w:tcPr>
          <w:p w14:paraId="2CFAEF33" w14:textId="77777777" w:rsidR="00286B77" w:rsidRDefault="00000000">
            <w:pPr>
              <w:spacing w:after="40"/>
            </w:pPr>
            <w:r>
              <w:rPr>
                <w:sz w:val="18"/>
              </w:rPr>
              <w:t>t_auto</w:t>
            </w:r>
          </w:p>
        </w:tc>
        <w:tc>
          <w:tcPr>
            <w:tcW w:w="2280" w:type="dxa"/>
          </w:tcPr>
          <w:p w14:paraId="31B75198" w14:textId="77777777" w:rsidR="00286B77" w:rsidRDefault="00000000">
            <w:pPr>
              <w:spacing w:after="40"/>
            </w:pPr>
            <w:r>
              <w:rPr>
                <w:sz w:val="18"/>
              </w:rPr>
              <w:t>Proporción de personas cuyo principal medio de traslado es el automóvil (n_transporte_auto / n_per)</w:t>
            </w:r>
          </w:p>
        </w:tc>
        <w:tc>
          <w:tcPr>
            <w:tcW w:w="2280" w:type="dxa"/>
          </w:tcPr>
          <w:p w14:paraId="60C1F46E" w14:textId="77777777" w:rsidR="00286B77" w:rsidRDefault="00000000">
            <w:pPr>
              <w:spacing w:after="40"/>
            </w:pPr>
            <w:r>
              <w:rPr>
                <w:sz w:val="18"/>
              </w:rPr>
              <w:t>Proporción</w:t>
            </w:r>
          </w:p>
        </w:tc>
        <w:tc>
          <w:tcPr>
            <w:tcW w:w="2280" w:type="dxa"/>
          </w:tcPr>
          <w:p w14:paraId="0BCB135B" w14:textId="77777777" w:rsidR="00286B77" w:rsidRDefault="00000000">
            <w:pPr>
              <w:spacing w:after="40"/>
            </w:pPr>
            <w:r>
              <w:rPr>
                <w:sz w:val="18"/>
              </w:rPr>
              <w:t>0 a 1</w:t>
            </w:r>
          </w:p>
        </w:tc>
      </w:tr>
      <w:tr w:rsidR="00286B77" w14:paraId="53C0F1EF" w14:textId="77777777">
        <w:trPr>
          <w:jc w:val="center"/>
        </w:trPr>
        <w:tc>
          <w:tcPr>
            <w:tcW w:w="2280" w:type="dxa"/>
          </w:tcPr>
          <w:p w14:paraId="375D148C" w14:textId="77777777" w:rsidR="00286B77" w:rsidRDefault="00000000">
            <w:pPr>
              <w:spacing w:after="40"/>
            </w:pPr>
            <w:r>
              <w:rPr>
                <w:sz w:val="18"/>
              </w:rPr>
              <w:t>t_int</w:t>
            </w:r>
          </w:p>
        </w:tc>
        <w:tc>
          <w:tcPr>
            <w:tcW w:w="2280" w:type="dxa"/>
          </w:tcPr>
          <w:p w14:paraId="08EA19C0" w14:textId="77777777" w:rsidR="00286B77" w:rsidRDefault="00000000">
            <w:pPr>
              <w:spacing w:after="40"/>
            </w:pPr>
            <w:r>
              <w:rPr>
                <w:sz w:val="18"/>
              </w:rPr>
              <w:t>Proporción de personas con acceso a internet en la vivienda (n_internet / n_per)</w:t>
            </w:r>
          </w:p>
        </w:tc>
        <w:tc>
          <w:tcPr>
            <w:tcW w:w="2280" w:type="dxa"/>
          </w:tcPr>
          <w:p w14:paraId="17EA9AE4" w14:textId="77777777" w:rsidR="00286B77" w:rsidRDefault="00000000">
            <w:pPr>
              <w:spacing w:after="40"/>
            </w:pPr>
            <w:r>
              <w:rPr>
                <w:sz w:val="18"/>
              </w:rPr>
              <w:t>Proporción</w:t>
            </w:r>
          </w:p>
        </w:tc>
        <w:tc>
          <w:tcPr>
            <w:tcW w:w="2280" w:type="dxa"/>
          </w:tcPr>
          <w:p w14:paraId="1E44E2E3" w14:textId="77777777" w:rsidR="00286B77" w:rsidRDefault="00000000">
            <w:pPr>
              <w:spacing w:after="40"/>
            </w:pPr>
            <w:r>
              <w:rPr>
                <w:sz w:val="18"/>
              </w:rPr>
              <w:t>0 a 1</w:t>
            </w:r>
          </w:p>
        </w:tc>
      </w:tr>
      <w:tr w:rsidR="00286B77" w14:paraId="266AE652" w14:textId="77777777">
        <w:trPr>
          <w:jc w:val="center"/>
        </w:trPr>
        <w:tc>
          <w:tcPr>
            <w:tcW w:w="2280" w:type="dxa"/>
          </w:tcPr>
          <w:p w14:paraId="2C0E4501" w14:textId="77777777" w:rsidR="00286B77" w:rsidRDefault="00000000">
            <w:pPr>
              <w:spacing w:after="40"/>
            </w:pPr>
            <w:r>
              <w:rPr>
                <w:sz w:val="18"/>
              </w:rPr>
              <w:t>ise</w:t>
            </w:r>
          </w:p>
        </w:tc>
        <w:tc>
          <w:tcPr>
            <w:tcW w:w="2280" w:type="dxa"/>
          </w:tcPr>
          <w:p w14:paraId="3A79EF69" w14:textId="77777777" w:rsidR="00286B77" w:rsidRDefault="00000000">
            <w:pPr>
              <w:spacing w:after="40"/>
            </w:pPr>
            <w:r>
              <w:rPr>
                <w:sz w:val="18"/>
              </w:rPr>
              <w:t xml:space="preserve">Índice socioeconómico: promedio de las tres </w:t>
            </w:r>
            <w:r>
              <w:rPr>
                <w:sz w:val="18"/>
              </w:rPr>
              <w:lastRenderedPageBreak/>
              <w:t>variables anteriores estandarizadas (z-score), reescalado a 0–1 mediante los percentiles 2 y 98</w:t>
            </w:r>
          </w:p>
        </w:tc>
        <w:tc>
          <w:tcPr>
            <w:tcW w:w="2280" w:type="dxa"/>
          </w:tcPr>
          <w:p w14:paraId="72E263E3" w14:textId="77777777" w:rsidR="00286B77" w:rsidRDefault="00000000">
            <w:pPr>
              <w:spacing w:after="40"/>
            </w:pPr>
            <w:r>
              <w:rPr>
                <w:sz w:val="18"/>
              </w:rPr>
              <w:lastRenderedPageBreak/>
              <w:t>Índice construido</w:t>
            </w:r>
          </w:p>
        </w:tc>
        <w:tc>
          <w:tcPr>
            <w:tcW w:w="2280" w:type="dxa"/>
          </w:tcPr>
          <w:p w14:paraId="721EE603" w14:textId="77777777" w:rsidR="00286B77" w:rsidRDefault="00000000">
            <w:pPr>
              <w:spacing w:after="40"/>
            </w:pPr>
            <w:r>
              <w:rPr>
                <w:sz w:val="18"/>
              </w:rPr>
              <w:t>0 a 1</w:t>
            </w:r>
          </w:p>
        </w:tc>
      </w:tr>
      <w:tr w:rsidR="00286B77" w14:paraId="02B8D046" w14:textId="77777777">
        <w:trPr>
          <w:jc w:val="center"/>
        </w:trPr>
        <w:tc>
          <w:tcPr>
            <w:tcW w:w="2280" w:type="dxa"/>
          </w:tcPr>
          <w:p w14:paraId="6E129A8C" w14:textId="77777777" w:rsidR="00286B77" w:rsidRDefault="00000000">
            <w:pPr>
              <w:spacing w:after="40"/>
            </w:pPr>
            <w:r>
              <w:rPr>
                <w:sz w:val="18"/>
              </w:rPr>
              <w:t>dp</w:t>
            </w:r>
          </w:p>
        </w:tc>
        <w:tc>
          <w:tcPr>
            <w:tcW w:w="2280" w:type="dxa"/>
          </w:tcPr>
          <w:p w14:paraId="5ABFE6FE" w14:textId="77777777" w:rsidR="00286B77" w:rsidRDefault="00000000">
            <w:pPr>
              <w:spacing w:after="40"/>
            </w:pPr>
            <w:r>
              <w:rPr>
                <w:sz w:val="18"/>
              </w:rPr>
              <w:t>Demanda potencial de la manzana: población residente multiplicada por el índice socioeconómico</w:t>
            </w:r>
          </w:p>
        </w:tc>
        <w:tc>
          <w:tcPr>
            <w:tcW w:w="2280" w:type="dxa"/>
          </w:tcPr>
          <w:p w14:paraId="0F0D7B1D" w14:textId="77777777" w:rsidR="00286B77" w:rsidRDefault="00000000">
            <w:pPr>
              <w:spacing w:after="40"/>
            </w:pPr>
            <w:r>
              <w:rPr>
                <w:sz w:val="18"/>
              </w:rPr>
              <w:t>Índice construido</w:t>
            </w:r>
          </w:p>
        </w:tc>
        <w:tc>
          <w:tcPr>
            <w:tcW w:w="2280" w:type="dxa"/>
          </w:tcPr>
          <w:p w14:paraId="1338BD09" w14:textId="77777777" w:rsidR="00286B77" w:rsidRDefault="00000000">
            <w:pPr>
              <w:spacing w:after="40"/>
            </w:pPr>
            <w:r>
              <w:rPr>
                <w:sz w:val="18"/>
              </w:rPr>
              <w:t>Índice</w:t>
            </w:r>
          </w:p>
        </w:tc>
      </w:tr>
      <w:tr w:rsidR="00286B77" w14:paraId="5CB78AE4" w14:textId="77777777">
        <w:trPr>
          <w:jc w:val="center"/>
        </w:trPr>
        <w:tc>
          <w:tcPr>
            <w:tcW w:w="2280" w:type="dxa"/>
          </w:tcPr>
          <w:p w14:paraId="071AC448" w14:textId="77777777" w:rsidR="00286B77" w:rsidRDefault="00000000">
            <w:pPr>
              <w:spacing w:after="40"/>
            </w:pPr>
            <w:r>
              <w:rPr>
                <w:sz w:val="18"/>
              </w:rPr>
              <w:t>area_km2</w:t>
            </w:r>
          </w:p>
        </w:tc>
        <w:tc>
          <w:tcPr>
            <w:tcW w:w="2280" w:type="dxa"/>
          </w:tcPr>
          <w:p w14:paraId="28E8B023" w14:textId="77777777" w:rsidR="00286B77" w:rsidRDefault="00000000">
            <w:pPr>
              <w:spacing w:after="40"/>
            </w:pPr>
            <w:r>
              <w:rPr>
                <w:sz w:val="18"/>
              </w:rPr>
              <w:t>Superficie del polígono, calculada en EPSG:32718</w:t>
            </w:r>
          </w:p>
        </w:tc>
        <w:tc>
          <w:tcPr>
            <w:tcW w:w="2280" w:type="dxa"/>
          </w:tcPr>
          <w:p w14:paraId="01B9FF1C" w14:textId="77777777" w:rsidR="00286B77" w:rsidRDefault="00000000">
            <w:pPr>
              <w:spacing w:after="40"/>
            </w:pPr>
            <w:r>
              <w:rPr>
                <w:sz w:val="18"/>
              </w:rPr>
              <w:t>Continua</w:t>
            </w:r>
          </w:p>
        </w:tc>
        <w:tc>
          <w:tcPr>
            <w:tcW w:w="2280" w:type="dxa"/>
          </w:tcPr>
          <w:p w14:paraId="577C7594" w14:textId="77777777" w:rsidR="00286B77" w:rsidRDefault="00000000">
            <w:pPr>
              <w:spacing w:after="40"/>
            </w:pPr>
            <w:r>
              <w:rPr>
                <w:sz w:val="18"/>
              </w:rPr>
              <w:t>km²</w:t>
            </w:r>
          </w:p>
        </w:tc>
      </w:tr>
      <w:tr w:rsidR="00286B77" w14:paraId="3FB213BF" w14:textId="77777777">
        <w:trPr>
          <w:jc w:val="center"/>
        </w:trPr>
        <w:tc>
          <w:tcPr>
            <w:tcW w:w="2280" w:type="dxa"/>
          </w:tcPr>
          <w:p w14:paraId="08583701" w14:textId="77777777" w:rsidR="00286B77" w:rsidRDefault="00000000">
            <w:pPr>
              <w:spacing w:after="40"/>
            </w:pPr>
            <w:r>
              <w:rPr>
                <w:sz w:val="18"/>
              </w:rPr>
              <w:t>dist_cc</w:t>
            </w:r>
          </w:p>
        </w:tc>
        <w:tc>
          <w:tcPr>
            <w:tcW w:w="2280" w:type="dxa"/>
          </w:tcPr>
          <w:p w14:paraId="3B42E39A" w14:textId="77777777" w:rsidR="00286B77" w:rsidRDefault="00000000">
            <w:pPr>
              <w:spacing w:after="40"/>
            </w:pPr>
            <w:r>
              <w:rPr>
                <w:sz w:val="18"/>
              </w:rPr>
              <w:t>Distancia euclidiana desde el punto representativo de la manzana al centro comercial más cercano</w:t>
            </w:r>
          </w:p>
        </w:tc>
        <w:tc>
          <w:tcPr>
            <w:tcW w:w="2280" w:type="dxa"/>
          </w:tcPr>
          <w:p w14:paraId="1022544E" w14:textId="77777777" w:rsidR="00286B77" w:rsidRDefault="00000000">
            <w:pPr>
              <w:spacing w:after="40"/>
            </w:pPr>
            <w:r>
              <w:rPr>
                <w:sz w:val="18"/>
              </w:rPr>
              <w:t>Continua</w:t>
            </w:r>
          </w:p>
        </w:tc>
        <w:tc>
          <w:tcPr>
            <w:tcW w:w="2280" w:type="dxa"/>
          </w:tcPr>
          <w:p w14:paraId="1008E125" w14:textId="77777777" w:rsidR="00286B77" w:rsidRDefault="00000000">
            <w:pPr>
              <w:spacing w:after="40"/>
            </w:pPr>
            <w:r>
              <w:rPr>
                <w:sz w:val="18"/>
              </w:rPr>
              <w:t>Metros</w:t>
            </w:r>
          </w:p>
        </w:tc>
      </w:tr>
    </w:tbl>
    <w:p w14:paraId="2DAC4EEB" w14:textId="77777777" w:rsidR="00286B77" w:rsidRDefault="00286B77"/>
    <w:p w14:paraId="465C609E" w14:textId="77777777" w:rsidR="00286B77" w:rsidRDefault="00000000">
      <w:pPr>
        <w:pStyle w:val="Ttulo2"/>
      </w:pPr>
      <w:r>
        <w:t>2.5 Georreferenciación</w:t>
      </w:r>
    </w:p>
    <w:p w14:paraId="60F35FAB" w14:textId="77777777" w:rsidR="00286B77" w:rsidRDefault="00000000">
      <w:pPr>
        <w:spacing w:after="160"/>
        <w:jc w:val="both"/>
      </w:pPr>
      <w:r>
        <w:t>La capa de manzanas viene georreferenciada desde el origen: el archivo del INE entrega directamente la geometría de polígono de cada manzana, de modo que no fue necesario geocodificar. Para los cálculos métricos, cada manzana se representa además mediante un punto interior obtenido con la operación «punto en la superficie» (point on surface) y no mediante su centroide, porque en polígonos cóncavos el centroide puede caer fuera del polígono.</w:t>
      </w:r>
    </w:p>
    <w:p w14:paraId="73AA0DE4" w14:textId="77777777" w:rsidR="00286B77" w:rsidRDefault="00000000">
      <w:pPr>
        <w:spacing w:after="160"/>
        <w:jc w:val="both"/>
      </w:pPr>
      <w:r>
        <w:t>La capa de centros comerciales sí requirió geocodificación. Cada establecimiento del catastro se buscó por nombre en Google Maps y se registró su dirección y sus coordenadas en grados decimales, junto con la fuente y la fecha de verificación. Como control de calidad, la misma búsqueda se realizó de forma independiente en OpenStreetMap mediante el servicio Nominatim: en 24 de los 25 casos comparables las dos fuentes coinciden dentro de un radio de 65 metros. La única discrepancia relevante corresponde a la Galería Concepción (212 metros), que queda registrada como pendiente de verificación en terreno.</w:t>
      </w:r>
    </w:p>
    <w:p w14:paraId="5DE3DDCF" w14:textId="77777777" w:rsidR="00286B77" w:rsidRDefault="00000000">
      <w:pPr>
        <w:spacing w:after="160"/>
        <w:jc w:val="both"/>
      </w:pPr>
      <w:r>
        <w:t>De los 31 establecimientos del catastro, 30 quedaron geocodificados y 1 (Paseo Los Héroes) no fue localizado en ninguna de las dos fuentes. Todos los puntos obtenidos se validaron contra la capa de manzanas: 29 caen dentro del área urbana de estudio y 1 (Espacio Cubo) queda aproximadamente a 1.055 metros del borde urbano.</w:t>
      </w:r>
    </w:p>
    <w:p w14:paraId="09C14351" w14:textId="77777777" w:rsidR="00286B77" w:rsidRDefault="00000000">
      <w:pPr>
        <w:pStyle w:val="Ttulo2"/>
      </w:pPr>
      <w:r>
        <w:t>2.6 CRS y unidades</w:t>
      </w:r>
    </w:p>
    <w:p w14:paraId="56402A3B" w14:textId="77777777" w:rsidR="00286B77" w:rsidRDefault="00000000">
      <w:pPr>
        <w:spacing w:after="160"/>
        <w:jc w:val="both"/>
      </w:pPr>
      <w:r>
        <w:t>El archivo de cartografía censal del INE viene declarado en EPSG:4674 (SIRGAS 2000), un sistema de coordenadas geográficas cuyas unidades son grados. Conviene advertir que el nombre del archivo de trabajo heredado del laboratorio anterior sugería una proyección UTM, pese a que su sistema declarado era el geográfico: el nombre de una capa no garantiza su contenido, y el sistema de referencia se verificó directamente en los metadatos.</w:t>
      </w:r>
    </w:p>
    <w:p w14:paraId="76A0EEEC" w14:textId="77777777" w:rsidR="00286B77" w:rsidRDefault="00000000">
      <w:pPr>
        <w:spacing w:after="160"/>
        <w:jc w:val="both"/>
      </w:pPr>
      <w:r>
        <w:t xml:space="preserve">Como en un sistema geográfico las distancias y superficies no pueden calcularse en metros, toda la capa se reproyectó a EPSG:32718 (WGS 84 / UTM zona 18 Sur), que es el sistema proyectado que corresponde a Chillán y el mismo utilizado en los laboratorios de la </w:t>
      </w:r>
      <w:r>
        <w:lastRenderedPageBreak/>
        <w:t>asignatura. Las coordenadas del catastro comercial se registraron en EPSG:4326 (WGS 84, grados decimales), tal como las entrega Google Maps, y se reproyectaron también a EPSG:32718 antes de cualquier cálculo.</w:t>
      </w:r>
    </w:p>
    <w:p w14:paraId="16FADD9B" w14:textId="77777777" w:rsidR="00286B77" w:rsidRDefault="00000000">
      <w:pPr>
        <w:spacing w:after="160"/>
        <w:jc w:val="both"/>
      </w:pPr>
      <w:r>
        <w:t>En consecuencia, todas las superficies del informe están expresadas en kilómetros cuadrados y todas las distancias en metros, calculadas sobre EPSG:32718.</w:t>
      </w:r>
    </w:p>
    <w:p w14:paraId="31143F2D" w14:textId="77777777" w:rsidR="00286B77" w:rsidRDefault="00000000">
      <w:pPr>
        <w:pStyle w:val="Ttulo2"/>
      </w:pPr>
      <w:r>
        <w:t>2.7 Procesamiento y limpieza inicial</w:t>
      </w:r>
    </w:p>
    <w:p w14:paraId="70C88034" w14:textId="77777777" w:rsidR="00286B77" w:rsidRDefault="00000000">
      <w:pPr>
        <w:spacing w:after="160"/>
        <w:jc w:val="both"/>
      </w:pPr>
      <w:r>
        <w:t>El flujo seguido para construir la base final fue el siguiente.</w:t>
      </w:r>
    </w:p>
    <w:p w14:paraId="56EB4972" w14:textId="77777777" w:rsidR="00286B77" w:rsidRDefault="00000000">
      <w:pPr>
        <w:spacing w:after="160"/>
        <w:jc w:val="both"/>
      </w:pPr>
      <w:r>
        <w:t>1.  Selección territorial. Sobre la cartografía censal de la Región de Ñuble se seleccionaron las manzanas de Chillán y Chillán Viejo, obteniendo 3.071 registros. Sobre ese conjunto se aplicó el filtro de área urbana (AREA_C = «URBANO»), que deja las 2.998 manzanas de trabajo.</w:t>
      </w:r>
    </w:p>
    <w:p w14:paraId="1B6D6C50" w14:textId="77777777" w:rsidR="00286B77" w:rsidRDefault="00000000">
      <w:pPr>
        <w:spacing w:after="160"/>
        <w:jc w:val="both"/>
      </w:pPr>
      <w:r>
        <w:t>2.  Reproyección. La capa se reproyectó de EPSG:4674 a EPSG:32718 y se recalculó la superficie de cada polígono en kilómetros cuadrados.</w:t>
      </w:r>
    </w:p>
    <w:p w14:paraId="4FE100FE" w14:textId="77777777" w:rsidR="00286B77" w:rsidRDefault="00000000">
      <w:pPr>
        <w:spacing w:after="160"/>
        <w:jc w:val="both"/>
      </w:pPr>
      <w:r>
        <w:t>3.  Tratamiento de los ceros estructurales. 647 manzanas urbanas registran cero habitantes (21,6% del total). En ellas las variables expresadas como promedio o proporción aparecen con valor cero, que no es un valor observado sino la ausencia de población sobre la que calcularlo. Esas manzanas se marcaron como no habitadas y se excluyeron del cálculo de los promedios y proporciones, conservándolas en la base y en la cartografía con demanda potencial igual a cero.</w:t>
      </w:r>
    </w:p>
    <w:p w14:paraId="05EFF881" w14:textId="77777777" w:rsidR="00286B77" w:rsidRDefault="00000000">
      <w:pPr>
        <w:spacing w:after="160"/>
        <w:jc w:val="both"/>
      </w:pPr>
      <w:r>
        <w:t>4.  Construcción del índice. Se estandarizaron las tres variables socioeconómicas seleccionadas, se promedió su puntaje z y el resultado se reescaló a 0–1 usando los percentiles 2 y 98 para acotar el efecto de los valores extremos. La demanda potencial se obtuvo multiplicando ese índice por la población residente.</w:t>
      </w:r>
    </w:p>
    <w:p w14:paraId="621D1360" w14:textId="77777777" w:rsidR="00286B77" w:rsidRDefault="00000000">
      <w:pPr>
        <w:spacing w:after="160"/>
        <w:jc w:val="both"/>
      </w:pPr>
      <w:r>
        <w:t>5.  Geocodificación e integración. El catastro comercial se geocodificó, se transformó en capa de puntos y se reproyectó al sistema de trabajo, verificando que todos los establecimientos cayeran dentro o junto al área urbana de estudio.</w:t>
      </w:r>
    </w:p>
    <w:p w14:paraId="107D31A7" w14:textId="77777777" w:rsidR="00286B77" w:rsidRDefault="00000000">
      <w:pPr>
        <w:spacing w:after="160"/>
        <w:jc w:val="both"/>
      </w:pPr>
      <w:r>
        <w:t>Decisión documentada sobre la selección de variables. Se probó inicialmente construir el índice con variables de conteo (hogares, personas ocupadas, personas con internet, personas con automóvil). Todas ellas presentan correlaciones superiores a 0,93 con la población de la manzana, de modo que un índice construido así reproduce la población bajo otro nombre y no aporta información nueva. Al expresarlas como proporciones sobre la población de la manzana, la correlación del índice resultante con la población cae a 0,06. Por esa razón el índice se construyó con tasas y no con conteos.</w:t>
      </w:r>
    </w:p>
    <w:p w14:paraId="2DE69D19" w14:textId="77777777" w:rsidR="00286B77" w:rsidRDefault="00000000">
      <w:pPr>
        <w:spacing w:after="160"/>
        <w:jc w:val="both"/>
      </w:pPr>
      <w:r>
        <w:t>También se evaluó incorporar la asistencia a educación superior. Se descartó porque su correlación con las otras tres variables es prácticamente nula (entre 0,00 y 0,06), lo que sugiere que captura la presencia de estudiantes y no la capacidad de gasto del hogar.</w:t>
      </w:r>
    </w:p>
    <w:p w14:paraId="0325A23A" w14:textId="77777777" w:rsidR="00286B77" w:rsidRDefault="00000000">
      <w:pPr>
        <w:pStyle w:val="Ttulo2"/>
      </w:pPr>
      <w:r>
        <w:lastRenderedPageBreak/>
        <w:t>2.8 Limitaciones de los datos</w:t>
      </w:r>
    </w:p>
    <w:p w14:paraId="55CD2BE3" w14:textId="77777777" w:rsidR="00286B77" w:rsidRDefault="00000000">
      <w:pPr>
        <w:spacing w:after="160"/>
        <w:jc w:val="both"/>
      </w:pPr>
      <w:r>
        <w:t>1.  Demanda residente y no demanda flotante. El Censo mide dónde reside la población, no dónde consume. El 21,6% de las manzanas urbanas no tiene habitantes y varias de ellas se ubican en el centro de la ciudad, que es precisamente donde el flujo diurno de personas es mayor. El indicador construido mide demanda residente y subestima de forma sistemática la demanda efectiva del centro. Esta limitación es coherente con lo observado en el laboratorio de accesibilidad a farmacias de la asignatura, donde la oferta aparecía concentrada en manzanas de baja población residente.</w:t>
      </w:r>
    </w:p>
    <w:p w14:paraId="3B1992BC" w14:textId="77777777" w:rsidR="00286B77" w:rsidRDefault="00000000">
      <w:pPr>
        <w:spacing w:after="160"/>
        <w:jc w:val="both"/>
      </w:pPr>
      <w:r>
        <w:t>2.  El indicador es una aproximación, no una medida de demanda. El Censo no informa ingresos ni gasto de los hogares. Las tres variables utilizadas son proxies de capacidad de gasto, y la ponderación entre ellas —promedio simple— es una decisión propia y no un resultado estadístico.</w:t>
      </w:r>
    </w:p>
    <w:p w14:paraId="5F1F1D06" w14:textId="77777777" w:rsidR="00286B77" w:rsidRDefault="00000000">
      <w:pPr>
        <w:spacing w:after="160"/>
        <w:jc w:val="both"/>
      </w:pPr>
      <w:r>
        <w:t>3.  Desfase temporal entre capas. Los datos de demanda son de 2024 y el catastro comercial de 2026.</w:t>
      </w:r>
    </w:p>
    <w:p w14:paraId="47A94A24" w14:textId="77777777" w:rsidR="00286B77" w:rsidRDefault="00000000">
      <w:pPr>
        <w:spacing w:after="160"/>
        <w:jc w:val="both"/>
      </w:pPr>
      <w:r>
        <w:t>4.  Cobertura del catastro comercial. El catastro es un levantamiento propio y no un registro oficial exhaustivo; puede omitir establecimientos pequeños. Un establecimiento no fue geocodificado y varios quedan pendientes de verificación en terreno, según se detalla en la planilla del anexo.</w:t>
      </w:r>
    </w:p>
    <w:p w14:paraId="448E348C" w14:textId="77777777" w:rsidR="00286B77" w:rsidRDefault="00000000">
      <w:pPr>
        <w:spacing w:after="160"/>
        <w:jc w:val="both"/>
      </w:pPr>
      <w:r>
        <w:t>5.  Ausencia de una medida de masa de la oferta. No se dispone todavía del número de locales de cada establecimiento, variable necesaria para ponderar el atractivo relativo de cada centro en las etapas posteriores del proyecto.</w:t>
      </w:r>
    </w:p>
    <w:p w14:paraId="1E82C729" w14:textId="77777777" w:rsidR="00286B77" w:rsidRDefault="00000000">
      <w:pPr>
        <w:spacing w:after="160"/>
        <w:jc w:val="both"/>
      </w:pPr>
      <w:r>
        <w:t>6.  Distancia euclidiana. Las distancias se calculan en línea recta y no sobre la red vial, por lo que no consideran el trazado de las calles, el río Chillán como barrera ni los tiempos de viaje.</w:t>
      </w:r>
    </w:p>
    <w:p w14:paraId="1A1F43BE" w14:textId="77777777" w:rsidR="00286B77" w:rsidRDefault="00000000">
      <w:pPr>
        <w:spacing w:after="160"/>
        <w:jc w:val="both"/>
      </w:pPr>
      <w:r>
        <w:t>7.  MAUP. Los resultados dependen de la unidad de agregación escogida, tal como se señaló en el apartado 1.5.</w:t>
      </w:r>
    </w:p>
    <w:p w14:paraId="3C768D51" w14:textId="77777777" w:rsidR="00286B77" w:rsidRDefault="00000000">
      <w:pPr>
        <w:pStyle w:val="Ttulo2"/>
      </w:pPr>
      <w:r>
        <w:t>2.9 Estadísticas descriptivas iniciales</w:t>
      </w:r>
    </w:p>
    <w:tbl>
      <w:tblPr>
        <w:tblStyle w:val="Tablaconcuadrcula"/>
        <w:tblW w:w="0" w:type="auto"/>
        <w:jc w:val="center"/>
        <w:tblLook w:val="04A0" w:firstRow="1" w:lastRow="0" w:firstColumn="1" w:lastColumn="0" w:noHBand="0" w:noVBand="1"/>
      </w:tblPr>
      <w:tblGrid>
        <w:gridCol w:w="1520"/>
        <w:gridCol w:w="1520"/>
        <w:gridCol w:w="1520"/>
        <w:gridCol w:w="1520"/>
        <w:gridCol w:w="1520"/>
        <w:gridCol w:w="1520"/>
      </w:tblGrid>
      <w:tr w:rsidR="00286B77" w14:paraId="0B42F3D6" w14:textId="77777777">
        <w:trPr>
          <w:jc w:val="center"/>
        </w:trPr>
        <w:tc>
          <w:tcPr>
            <w:tcW w:w="1520" w:type="dxa"/>
            <w:vAlign w:val="center"/>
          </w:tcPr>
          <w:p w14:paraId="2B18263B" w14:textId="77777777" w:rsidR="00286B77" w:rsidRDefault="00000000">
            <w:r>
              <w:rPr>
                <w:b/>
              </w:rPr>
              <w:t>Variable</w:t>
            </w:r>
          </w:p>
        </w:tc>
        <w:tc>
          <w:tcPr>
            <w:tcW w:w="1520" w:type="dxa"/>
            <w:vAlign w:val="center"/>
          </w:tcPr>
          <w:p w14:paraId="587F7C0D" w14:textId="77777777" w:rsidR="00286B77" w:rsidRDefault="00000000">
            <w:r>
              <w:rPr>
                <w:b/>
              </w:rPr>
              <w:t>N</w:t>
            </w:r>
          </w:p>
        </w:tc>
        <w:tc>
          <w:tcPr>
            <w:tcW w:w="1520" w:type="dxa"/>
            <w:vAlign w:val="center"/>
          </w:tcPr>
          <w:p w14:paraId="2DC6D7AA" w14:textId="77777777" w:rsidR="00286B77" w:rsidRDefault="00000000">
            <w:r>
              <w:rPr>
                <w:b/>
              </w:rPr>
              <w:t>Media</w:t>
            </w:r>
          </w:p>
        </w:tc>
        <w:tc>
          <w:tcPr>
            <w:tcW w:w="1520" w:type="dxa"/>
            <w:vAlign w:val="center"/>
          </w:tcPr>
          <w:p w14:paraId="404C5F89" w14:textId="77777777" w:rsidR="00286B77" w:rsidRDefault="00000000">
            <w:r>
              <w:rPr>
                <w:b/>
              </w:rPr>
              <w:t>Mediana</w:t>
            </w:r>
          </w:p>
        </w:tc>
        <w:tc>
          <w:tcPr>
            <w:tcW w:w="1520" w:type="dxa"/>
            <w:vAlign w:val="center"/>
          </w:tcPr>
          <w:p w14:paraId="4CF9EF3F" w14:textId="77777777" w:rsidR="00286B77" w:rsidRDefault="00000000">
            <w:r>
              <w:rPr>
                <w:b/>
              </w:rPr>
              <w:t>Mínimo</w:t>
            </w:r>
          </w:p>
        </w:tc>
        <w:tc>
          <w:tcPr>
            <w:tcW w:w="1520" w:type="dxa"/>
            <w:vAlign w:val="center"/>
          </w:tcPr>
          <w:p w14:paraId="2B5C33FB" w14:textId="77777777" w:rsidR="00286B77" w:rsidRDefault="00000000">
            <w:r>
              <w:rPr>
                <w:b/>
              </w:rPr>
              <w:t>Máximo</w:t>
            </w:r>
          </w:p>
        </w:tc>
      </w:tr>
      <w:tr w:rsidR="00286B77" w14:paraId="0B7F005C" w14:textId="77777777">
        <w:trPr>
          <w:jc w:val="center"/>
        </w:trPr>
        <w:tc>
          <w:tcPr>
            <w:tcW w:w="1520" w:type="dxa"/>
          </w:tcPr>
          <w:p w14:paraId="22910F71" w14:textId="77777777" w:rsidR="00286B77" w:rsidRDefault="00000000">
            <w:pPr>
              <w:spacing w:after="40"/>
            </w:pPr>
            <w:r>
              <w:rPr>
                <w:sz w:val="18"/>
              </w:rPr>
              <w:t>Población residente</w:t>
            </w:r>
          </w:p>
        </w:tc>
        <w:tc>
          <w:tcPr>
            <w:tcW w:w="1520" w:type="dxa"/>
          </w:tcPr>
          <w:p w14:paraId="320A2C75" w14:textId="77777777" w:rsidR="00286B77" w:rsidRDefault="00000000">
            <w:pPr>
              <w:spacing w:after="40"/>
            </w:pPr>
            <w:r>
              <w:rPr>
                <w:sz w:val="18"/>
              </w:rPr>
              <w:t>2.998</w:t>
            </w:r>
          </w:p>
        </w:tc>
        <w:tc>
          <w:tcPr>
            <w:tcW w:w="1520" w:type="dxa"/>
          </w:tcPr>
          <w:p w14:paraId="4B584624" w14:textId="77777777" w:rsidR="00286B77" w:rsidRDefault="00000000">
            <w:pPr>
              <w:spacing w:after="40"/>
            </w:pPr>
            <w:r>
              <w:rPr>
                <w:sz w:val="18"/>
              </w:rPr>
              <w:t>64,8</w:t>
            </w:r>
          </w:p>
        </w:tc>
        <w:tc>
          <w:tcPr>
            <w:tcW w:w="1520" w:type="dxa"/>
          </w:tcPr>
          <w:p w14:paraId="1487B16A" w14:textId="77777777" w:rsidR="00286B77" w:rsidRDefault="00000000">
            <w:pPr>
              <w:spacing w:after="40"/>
            </w:pPr>
            <w:r>
              <w:rPr>
                <w:sz w:val="18"/>
              </w:rPr>
              <w:t>45,0</w:t>
            </w:r>
          </w:p>
        </w:tc>
        <w:tc>
          <w:tcPr>
            <w:tcW w:w="1520" w:type="dxa"/>
          </w:tcPr>
          <w:p w14:paraId="34ADFD49" w14:textId="77777777" w:rsidR="00286B77" w:rsidRDefault="00000000">
            <w:pPr>
              <w:spacing w:after="40"/>
            </w:pPr>
            <w:r>
              <w:rPr>
                <w:sz w:val="18"/>
              </w:rPr>
              <w:t>0</w:t>
            </w:r>
          </w:p>
        </w:tc>
        <w:tc>
          <w:tcPr>
            <w:tcW w:w="1520" w:type="dxa"/>
          </w:tcPr>
          <w:p w14:paraId="11DAA1D4" w14:textId="77777777" w:rsidR="00286B77" w:rsidRDefault="00000000">
            <w:pPr>
              <w:spacing w:after="40"/>
            </w:pPr>
            <w:r>
              <w:rPr>
                <w:sz w:val="18"/>
              </w:rPr>
              <w:t>2.189</w:t>
            </w:r>
          </w:p>
        </w:tc>
      </w:tr>
      <w:tr w:rsidR="00286B77" w14:paraId="69FD2497" w14:textId="77777777">
        <w:trPr>
          <w:jc w:val="center"/>
        </w:trPr>
        <w:tc>
          <w:tcPr>
            <w:tcW w:w="1520" w:type="dxa"/>
          </w:tcPr>
          <w:p w14:paraId="223D81B2" w14:textId="77777777" w:rsidR="00286B77" w:rsidRDefault="00000000">
            <w:pPr>
              <w:spacing w:after="40"/>
            </w:pPr>
            <w:r>
              <w:rPr>
                <w:sz w:val="18"/>
              </w:rPr>
              <w:t>Hogares</w:t>
            </w:r>
          </w:p>
        </w:tc>
        <w:tc>
          <w:tcPr>
            <w:tcW w:w="1520" w:type="dxa"/>
          </w:tcPr>
          <w:p w14:paraId="2CA54CF4" w14:textId="77777777" w:rsidR="00286B77" w:rsidRDefault="00000000">
            <w:pPr>
              <w:spacing w:after="40"/>
            </w:pPr>
            <w:r>
              <w:rPr>
                <w:sz w:val="18"/>
              </w:rPr>
              <w:t>2.998</w:t>
            </w:r>
          </w:p>
        </w:tc>
        <w:tc>
          <w:tcPr>
            <w:tcW w:w="1520" w:type="dxa"/>
          </w:tcPr>
          <w:p w14:paraId="5C85E476" w14:textId="77777777" w:rsidR="00286B77" w:rsidRDefault="00000000">
            <w:pPr>
              <w:spacing w:after="40"/>
            </w:pPr>
            <w:r>
              <w:rPr>
                <w:sz w:val="18"/>
              </w:rPr>
              <w:t>23,8</w:t>
            </w:r>
          </w:p>
        </w:tc>
        <w:tc>
          <w:tcPr>
            <w:tcW w:w="1520" w:type="dxa"/>
          </w:tcPr>
          <w:p w14:paraId="179A6912" w14:textId="77777777" w:rsidR="00286B77" w:rsidRDefault="00000000">
            <w:pPr>
              <w:spacing w:after="40"/>
            </w:pPr>
            <w:r>
              <w:rPr>
                <w:sz w:val="18"/>
              </w:rPr>
              <w:t>17,0</w:t>
            </w:r>
          </w:p>
        </w:tc>
        <w:tc>
          <w:tcPr>
            <w:tcW w:w="1520" w:type="dxa"/>
          </w:tcPr>
          <w:p w14:paraId="19BDA817" w14:textId="77777777" w:rsidR="00286B77" w:rsidRDefault="00000000">
            <w:pPr>
              <w:spacing w:after="40"/>
            </w:pPr>
            <w:r>
              <w:rPr>
                <w:sz w:val="18"/>
              </w:rPr>
              <w:t>0</w:t>
            </w:r>
          </w:p>
        </w:tc>
        <w:tc>
          <w:tcPr>
            <w:tcW w:w="1520" w:type="dxa"/>
          </w:tcPr>
          <w:p w14:paraId="1BE637F3" w14:textId="77777777" w:rsidR="00286B77" w:rsidRDefault="00000000">
            <w:pPr>
              <w:spacing w:after="40"/>
            </w:pPr>
            <w:r>
              <w:rPr>
                <w:sz w:val="18"/>
              </w:rPr>
              <w:t>1.061</w:t>
            </w:r>
          </w:p>
        </w:tc>
      </w:tr>
      <w:tr w:rsidR="00286B77" w14:paraId="43837E17" w14:textId="77777777">
        <w:trPr>
          <w:jc w:val="center"/>
        </w:trPr>
        <w:tc>
          <w:tcPr>
            <w:tcW w:w="1520" w:type="dxa"/>
          </w:tcPr>
          <w:p w14:paraId="2F71A15A" w14:textId="77777777" w:rsidR="00286B77" w:rsidRDefault="00000000">
            <w:pPr>
              <w:spacing w:after="40"/>
            </w:pPr>
            <w:r>
              <w:rPr>
                <w:sz w:val="18"/>
              </w:rPr>
              <w:t>Densidad (hab/km²)</w:t>
            </w:r>
          </w:p>
        </w:tc>
        <w:tc>
          <w:tcPr>
            <w:tcW w:w="1520" w:type="dxa"/>
          </w:tcPr>
          <w:p w14:paraId="3547D422" w14:textId="77777777" w:rsidR="00286B77" w:rsidRDefault="00000000">
            <w:pPr>
              <w:spacing w:after="40"/>
            </w:pPr>
            <w:r>
              <w:rPr>
                <w:sz w:val="18"/>
              </w:rPr>
              <w:t>2.998</w:t>
            </w:r>
          </w:p>
        </w:tc>
        <w:tc>
          <w:tcPr>
            <w:tcW w:w="1520" w:type="dxa"/>
          </w:tcPr>
          <w:p w14:paraId="1FA1FF69" w14:textId="77777777" w:rsidR="00286B77" w:rsidRDefault="00000000">
            <w:pPr>
              <w:spacing w:after="40"/>
            </w:pPr>
            <w:r>
              <w:rPr>
                <w:sz w:val="18"/>
              </w:rPr>
              <w:t>9.586,0</w:t>
            </w:r>
          </w:p>
        </w:tc>
        <w:tc>
          <w:tcPr>
            <w:tcW w:w="1520" w:type="dxa"/>
          </w:tcPr>
          <w:p w14:paraId="24D01791" w14:textId="77777777" w:rsidR="00286B77" w:rsidRDefault="00000000">
            <w:pPr>
              <w:spacing w:after="40"/>
            </w:pPr>
            <w:r>
              <w:rPr>
                <w:sz w:val="18"/>
              </w:rPr>
              <w:t>8.355,7</w:t>
            </w:r>
          </w:p>
        </w:tc>
        <w:tc>
          <w:tcPr>
            <w:tcW w:w="1520" w:type="dxa"/>
          </w:tcPr>
          <w:p w14:paraId="5E24E6E6" w14:textId="77777777" w:rsidR="00286B77" w:rsidRDefault="00000000">
            <w:pPr>
              <w:spacing w:after="40"/>
            </w:pPr>
            <w:r>
              <w:rPr>
                <w:sz w:val="18"/>
              </w:rPr>
              <w:t>0</w:t>
            </w:r>
          </w:p>
        </w:tc>
        <w:tc>
          <w:tcPr>
            <w:tcW w:w="1520" w:type="dxa"/>
          </w:tcPr>
          <w:p w14:paraId="48BADB7F" w14:textId="77777777" w:rsidR="00286B77" w:rsidRDefault="00000000">
            <w:pPr>
              <w:spacing w:after="40"/>
            </w:pPr>
            <w:r>
              <w:rPr>
                <w:sz w:val="18"/>
              </w:rPr>
              <w:t>42.509,8</w:t>
            </w:r>
          </w:p>
        </w:tc>
      </w:tr>
      <w:tr w:rsidR="00286B77" w14:paraId="3BDF878D" w14:textId="77777777">
        <w:trPr>
          <w:jc w:val="center"/>
        </w:trPr>
        <w:tc>
          <w:tcPr>
            <w:tcW w:w="1520" w:type="dxa"/>
          </w:tcPr>
          <w:p w14:paraId="268901DD" w14:textId="77777777" w:rsidR="00286B77" w:rsidRDefault="00000000">
            <w:pPr>
              <w:spacing w:after="40"/>
            </w:pPr>
            <w:r>
              <w:rPr>
                <w:sz w:val="18"/>
              </w:rPr>
              <w:t>Escolaridad promedio 18+ (años)</w:t>
            </w:r>
          </w:p>
        </w:tc>
        <w:tc>
          <w:tcPr>
            <w:tcW w:w="1520" w:type="dxa"/>
          </w:tcPr>
          <w:p w14:paraId="71193607" w14:textId="77777777" w:rsidR="00286B77" w:rsidRDefault="00000000">
            <w:pPr>
              <w:spacing w:after="40"/>
            </w:pPr>
            <w:r>
              <w:rPr>
                <w:sz w:val="18"/>
              </w:rPr>
              <w:t>2.350</w:t>
            </w:r>
          </w:p>
        </w:tc>
        <w:tc>
          <w:tcPr>
            <w:tcW w:w="1520" w:type="dxa"/>
          </w:tcPr>
          <w:p w14:paraId="6F3A93F7" w14:textId="77777777" w:rsidR="00286B77" w:rsidRDefault="00000000">
            <w:pPr>
              <w:spacing w:after="40"/>
            </w:pPr>
            <w:r>
              <w:rPr>
                <w:sz w:val="18"/>
              </w:rPr>
              <w:t>12,2</w:t>
            </w:r>
          </w:p>
        </w:tc>
        <w:tc>
          <w:tcPr>
            <w:tcW w:w="1520" w:type="dxa"/>
          </w:tcPr>
          <w:p w14:paraId="354B5A73" w14:textId="77777777" w:rsidR="00286B77" w:rsidRDefault="00000000">
            <w:pPr>
              <w:spacing w:after="40"/>
            </w:pPr>
            <w:r>
              <w:rPr>
                <w:sz w:val="18"/>
              </w:rPr>
              <w:t>12,1</w:t>
            </w:r>
          </w:p>
        </w:tc>
        <w:tc>
          <w:tcPr>
            <w:tcW w:w="1520" w:type="dxa"/>
          </w:tcPr>
          <w:p w14:paraId="26D9C106" w14:textId="77777777" w:rsidR="00286B77" w:rsidRDefault="00000000">
            <w:pPr>
              <w:spacing w:after="40"/>
            </w:pPr>
            <w:r>
              <w:rPr>
                <w:sz w:val="18"/>
              </w:rPr>
              <w:t>6,7</w:t>
            </w:r>
          </w:p>
        </w:tc>
        <w:tc>
          <w:tcPr>
            <w:tcW w:w="1520" w:type="dxa"/>
          </w:tcPr>
          <w:p w14:paraId="0ACED574" w14:textId="77777777" w:rsidR="00286B77" w:rsidRDefault="00000000">
            <w:pPr>
              <w:spacing w:after="40"/>
            </w:pPr>
            <w:r>
              <w:rPr>
                <w:sz w:val="18"/>
              </w:rPr>
              <w:t>18,0</w:t>
            </w:r>
          </w:p>
        </w:tc>
      </w:tr>
      <w:tr w:rsidR="00286B77" w14:paraId="19B652FE" w14:textId="77777777">
        <w:trPr>
          <w:jc w:val="center"/>
        </w:trPr>
        <w:tc>
          <w:tcPr>
            <w:tcW w:w="1520" w:type="dxa"/>
          </w:tcPr>
          <w:p w14:paraId="095FFFD9" w14:textId="77777777" w:rsidR="00286B77" w:rsidRDefault="00000000">
            <w:pPr>
              <w:spacing w:after="40"/>
            </w:pPr>
            <w:r>
              <w:rPr>
                <w:sz w:val="18"/>
              </w:rPr>
              <w:t>Proporción de traslado en automóvil</w:t>
            </w:r>
          </w:p>
        </w:tc>
        <w:tc>
          <w:tcPr>
            <w:tcW w:w="1520" w:type="dxa"/>
          </w:tcPr>
          <w:p w14:paraId="42E6D038" w14:textId="77777777" w:rsidR="00286B77" w:rsidRDefault="00000000">
            <w:pPr>
              <w:spacing w:after="40"/>
            </w:pPr>
            <w:r>
              <w:rPr>
                <w:sz w:val="18"/>
              </w:rPr>
              <w:t>2.351</w:t>
            </w:r>
          </w:p>
        </w:tc>
        <w:tc>
          <w:tcPr>
            <w:tcW w:w="1520" w:type="dxa"/>
          </w:tcPr>
          <w:p w14:paraId="2BCECA83" w14:textId="77777777" w:rsidR="00286B77" w:rsidRDefault="00000000">
            <w:pPr>
              <w:spacing w:after="40"/>
            </w:pPr>
            <w:r>
              <w:rPr>
                <w:sz w:val="18"/>
              </w:rPr>
              <w:t>0,12</w:t>
            </w:r>
          </w:p>
        </w:tc>
        <w:tc>
          <w:tcPr>
            <w:tcW w:w="1520" w:type="dxa"/>
          </w:tcPr>
          <w:p w14:paraId="373BD915" w14:textId="77777777" w:rsidR="00286B77" w:rsidRDefault="00000000">
            <w:pPr>
              <w:spacing w:after="40"/>
            </w:pPr>
            <w:r>
              <w:rPr>
                <w:sz w:val="18"/>
              </w:rPr>
              <w:t>0,11</w:t>
            </w:r>
          </w:p>
        </w:tc>
        <w:tc>
          <w:tcPr>
            <w:tcW w:w="1520" w:type="dxa"/>
          </w:tcPr>
          <w:p w14:paraId="0E03DE23" w14:textId="77777777" w:rsidR="00286B77" w:rsidRDefault="00000000">
            <w:pPr>
              <w:spacing w:after="40"/>
            </w:pPr>
            <w:r>
              <w:rPr>
                <w:sz w:val="18"/>
              </w:rPr>
              <w:t>0,00</w:t>
            </w:r>
          </w:p>
        </w:tc>
        <w:tc>
          <w:tcPr>
            <w:tcW w:w="1520" w:type="dxa"/>
          </w:tcPr>
          <w:p w14:paraId="456DA095" w14:textId="77777777" w:rsidR="00286B77" w:rsidRDefault="00000000">
            <w:pPr>
              <w:spacing w:after="40"/>
            </w:pPr>
            <w:r>
              <w:rPr>
                <w:sz w:val="18"/>
              </w:rPr>
              <w:t>0,91</w:t>
            </w:r>
          </w:p>
        </w:tc>
      </w:tr>
      <w:tr w:rsidR="00286B77" w14:paraId="05928AED" w14:textId="77777777">
        <w:trPr>
          <w:jc w:val="center"/>
        </w:trPr>
        <w:tc>
          <w:tcPr>
            <w:tcW w:w="1520" w:type="dxa"/>
          </w:tcPr>
          <w:p w14:paraId="029A8C1B" w14:textId="77777777" w:rsidR="00286B77" w:rsidRDefault="00000000">
            <w:pPr>
              <w:spacing w:after="40"/>
            </w:pPr>
            <w:r>
              <w:rPr>
                <w:sz w:val="18"/>
              </w:rPr>
              <w:t>Proporción con acceso a internet</w:t>
            </w:r>
          </w:p>
        </w:tc>
        <w:tc>
          <w:tcPr>
            <w:tcW w:w="1520" w:type="dxa"/>
          </w:tcPr>
          <w:p w14:paraId="7DFD9343" w14:textId="77777777" w:rsidR="00286B77" w:rsidRDefault="00000000">
            <w:pPr>
              <w:spacing w:after="40"/>
            </w:pPr>
            <w:r>
              <w:rPr>
                <w:sz w:val="18"/>
              </w:rPr>
              <w:t>2.351</w:t>
            </w:r>
          </w:p>
        </w:tc>
        <w:tc>
          <w:tcPr>
            <w:tcW w:w="1520" w:type="dxa"/>
          </w:tcPr>
          <w:p w14:paraId="04077F09" w14:textId="77777777" w:rsidR="00286B77" w:rsidRDefault="00000000">
            <w:pPr>
              <w:spacing w:after="40"/>
            </w:pPr>
            <w:r>
              <w:rPr>
                <w:sz w:val="18"/>
              </w:rPr>
              <w:t>0,34</w:t>
            </w:r>
          </w:p>
        </w:tc>
        <w:tc>
          <w:tcPr>
            <w:tcW w:w="1520" w:type="dxa"/>
          </w:tcPr>
          <w:p w14:paraId="2EA132E5" w14:textId="77777777" w:rsidR="00286B77" w:rsidRDefault="00000000">
            <w:pPr>
              <w:spacing w:after="40"/>
            </w:pPr>
            <w:r>
              <w:rPr>
                <w:sz w:val="18"/>
              </w:rPr>
              <w:t>0,34</w:t>
            </w:r>
          </w:p>
        </w:tc>
        <w:tc>
          <w:tcPr>
            <w:tcW w:w="1520" w:type="dxa"/>
          </w:tcPr>
          <w:p w14:paraId="792A3EA0" w14:textId="77777777" w:rsidR="00286B77" w:rsidRDefault="00000000">
            <w:pPr>
              <w:spacing w:after="40"/>
            </w:pPr>
            <w:r>
              <w:rPr>
                <w:sz w:val="18"/>
              </w:rPr>
              <w:t>0,00</w:t>
            </w:r>
          </w:p>
        </w:tc>
        <w:tc>
          <w:tcPr>
            <w:tcW w:w="1520" w:type="dxa"/>
          </w:tcPr>
          <w:p w14:paraId="64B16C3F" w14:textId="77777777" w:rsidR="00286B77" w:rsidRDefault="00000000">
            <w:pPr>
              <w:spacing w:after="40"/>
            </w:pPr>
            <w:r>
              <w:rPr>
                <w:sz w:val="18"/>
              </w:rPr>
              <w:t>0,82</w:t>
            </w:r>
          </w:p>
        </w:tc>
      </w:tr>
      <w:tr w:rsidR="00286B77" w14:paraId="18F6745C" w14:textId="77777777">
        <w:trPr>
          <w:jc w:val="center"/>
        </w:trPr>
        <w:tc>
          <w:tcPr>
            <w:tcW w:w="1520" w:type="dxa"/>
          </w:tcPr>
          <w:p w14:paraId="61E85800" w14:textId="77777777" w:rsidR="00286B77" w:rsidRDefault="00000000">
            <w:pPr>
              <w:spacing w:after="40"/>
            </w:pPr>
            <w:r>
              <w:rPr>
                <w:sz w:val="18"/>
              </w:rPr>
              <w:t>Índice socioeconómico (0–1)</w:t>
            </w:r>
          </w:p>
        </w:tc>
        <w:tc>
          <w:tcPr>
            <w:tcW w:w="1520" w:type="dxa"/>
          </w:tcPr>
          <w:p w14:paraId="2984D0CB" w14:textId="77777777" w:rsidR="00286B77" w:rsidRDefault="00000000">
            <w:pPr>
              <w:spacing w:after="40"/>
            </w:pPr>
            <w:r>
              <w:rPr>
                <w:sz w:val="18"/>
              </w:rPr>
              <w:t>2.351</w:t>
            </w:r>
          </w:p>
        </w:tc>
        <w:tc>
          <w:tcPr>
            <w:tcW w:w="1520" w:type="dxa"/>
          </w:tcPr>
          <w:p w14:paraId="674AB896" w14:textId="77777777" w:rsidR="00286B77" w:rsidRDefault="00000000">
            <w:pPr>
              <w:spacing w:after="40"/>
            </w:pPr>
            <w:r>
              <w:rPr>
                <w:sz w:val="18"/>
              </w:rPr>
              <w:t>0,43</w:t>
            </w:r>
          </w:p>
        </w:tc>
        <w:tc>
          <w:tcPr>
            <w:tcW w:w="1520" w:type="dxa"/>
          </w:tcPr>
          <w:p w14:paraId="38983F37" w14:textId="77777777" w:rsidR="00286B77" w:rsidRDefault="00000000">
            <w:pPr>
              <w:spacing w:after="40"/>
            </w:pPr>
            <w:r>
              <w:rPr>
                <w:sz w:val="18"/>
              </w:rPr>
              <w:t>0,41</w:t>
            </w:r>
          </w:p>
        </w:tc>
        <w:tc>
          <w:tcPr>
            <w:tcW w:w="1520" w:type="dxa"/>
          </w:tcPr>
          <w:p w14:paraId="43BDE9F6" w14:textId="77777777" w:rsidR="00286B77" w:rsidRDefault="00000000">
            <w:pPr>
              <w:spacing w:after="40"/>
            </w:pPr>
            <w:r>
              <w:rPr>
                <w:sz w:val="18"/>
              </w:rPr>
              <w:t>0,00</w:t>
            </w:r>
          </w:p>
        </w:tc>
        <w:tc>
          <w:tcPr>
            <w:tcW w:w="1520" w:type="dxa"/>
          </w:tcPr>
          <w:p w14:paraId="67C5590F" w14:textId="77777777" w:rsidR="00286B77" w:rsidRDefault="00000000">
            <w:pPr>
              <w:spacing w:after="40"/>
            </w:pPr>
            <w:r>
              <w:rPr>
                <w:sz w:val="18"/>
              </w:rPr>
              <w:t>1,00</w:t>
            </w:r>
          </w:p>
        </w:tc>
      </w:tr>
      <w:tr w:rsidR="00286B77" w14:paraId="34721674" w14:textId="77777777">
        <w:trPr>
          <w:jc w:val="center"/>
        </w:trPr>
        <w:tc>
          <w:tcPr>
            <w:tcW w:w="1520" w:type="dxa"/>
          </w:tcPr>
          <w:p w14:paraId="41DAB414" w14:textId="77777777" w:rsidR="00286B77" w:rsidRDefault="00000000">
            <w:pPr>
              <w:spacing w:after="40"/>
            </w:pPr>
            <w:r>
              <w:rPr>
                <w:sz w:val="18"/>
              </w:rPr>
              <w:lastRenderedPageBreak/>
              <w:t>Demanda potencial</w:t>
            </w:r>
          </w:p>
        </w:tc>
        <w:tc>
          <w:tcPr>
            <w:tcW w:w="1520" w:type="dxa"/>
          </w:tcPr>
          <w:p w14:paraId="7E3B481E" w14:textId="77777777" w:rsidR="00286B77" w:rsidRDefault="00000000">
            <w:pPr>
              <w:spacing w:after="40"/>
            </w:pPr>
            <w:r>
              <w:rPr>
                <w:sz w:val="18"/>
              </w:rPr>
              <w:t>2.998</w:t>
            </w:r>
          </w:p>
        </w:tc>
        <w:tc>
          <w:tcPr>
            <w:tcW w:w="1520" w:type="dxa"/>
          </w:tcPr>
          <w:p w14:paraId="434A9378" w14:textId="77777777" w:rsidR="00286B77" w:rsidRDefault="00000000">
            <w:pPr>
              <w:spacing w:after="40"/>
            </w:pPr>
            <w:r>
              <w:rPr>
                <w:sz w:val="18"/>
              </w:rPr>
              <w:t>29,4</w:t>
            </w:r>
          </w:p>
        </w:tc>
        <w:tc>
          <w:tcPr>
            <w:tcW w:w="1520" w:type="dxa"/>
          </w:tcPr>
          <w:p w14:paraId="1F084414" w14:textId="77777777" w:rsidR="00286B77" w:rsidRDefault="00000000">
            <w:pPr>
              <w:spacing w:after="40"/>
            </w:pPr>
            <w:r>
              <w:rPr>
                <w:sz w:val="18"/>
              </w:rPr>
              <w:t>16,3</w:t>
            </w:r>
          </w:p>
        </w:tc>
        <w:tc>
          <w:tcPr>
            <w:tcW w:w="1520" w:type="dxa"/>
          </w:tcPr>
          <w:p w14:paraId="1B2872CF" w14:textId="77777777" w:rsidR="00286B77" w:rsidRDefault="00000000">
            <w:pPr>
              <w:spacing w:after="40"/>
            </w:pPr>
            <w:r>
              <w:rPr>
                <w:sz w:val="18"/>
              </w:rPr>
              <w:t>0</w:t>
            </w:r>
          </w:p>
        </w:tc>
        <w:tc>
          <w:tcPr>
            <w:tcW w:w="1520" w:type="dxa"/>
          </w:tcPr>
          <w:p w14:paraId="79C923DF" w14:textId="77777777" w:rsidR="00286B77" w:rsidRDefault="00000000">
            <w:pPr>
              <w:spacing w:after="40"/>
            </w:pPr>
            <w:r>
              <w:rPr>
                <w:sz w:val="18"/>
              </w:rPr>
              <w:t>1.967,7</w:t>
            </w:r>
          </w:p>
        </w:tc>
      </w:tr>
    </w:tbl>
    <w:p w14:paraId="17D41E1C" w14:textId="77777777" w:rsidR="00286B77" w:rsidRDefault="00000000">
      <w:pPr>
        <w:spacing w:after="160"/>
        <w:jc w:val="both"/>
      </w:pPr>
      <w:r>
        <w:rPr>
          <w:sz w:val="18"/>
        </w:rPr>
        <w:t>Las tres primeras variables se calculan sobre las 2.998 manzanas urbanas. Los promedios y proporciones se calculan solo sobre las 2.351 manzanas habitadas, por la razón explicada en el apartado 2.7. La demanda potencial se reporta sobre el total, asignando cero a las manzanas sin población residente.</w:t>
      </w:r>
    </w:p>
    <w:p w14:paraId="3F93D3F7" w14:textId="77777777" w:rsidR="00286B77" w:rsidRDefault="00286B77"/>
    <w:p w14:paraId="253782A0" w14:textId="77777777" w:rsidR="00286B77" w:rsidRDefault="00000000">
      <w:pPr>
        <w:pStyle w:val="Ttulo1"/>
      </w:pPr>
      <w:r>
        <w:t>3. Cartografía inicial</w:t>
      </w:r>
    </w:p>
    <w:p w14:paraId="5D9AEA12" w14:textId="77777777" w:rsidR="00286B77" w:rsidRDefault="00000000">
      <w:pPr>
        <w:pStyle w:val="Ttulo2"/>
      </w:pPr>
      <w:r>
        <w:t>3.1 Propósito del mapa</w:t>
      </w:r>
    </w:p>
    <w:p w14:paraId="1B12AC5A" w14:textId="77777777" w:rsidR="00286B77" w:rsidRDefault="00000000">
      <w:pPr>
        <w:spacing w:after="160"/>
        <w:jc w:val="both"/>
      </w:pPr>
      <w:r>
        <w:t>El mapa busca responder una pregunta visual concreta: ¿dónde se concentra territorialmente la demanda potencial de consumo en el área urbana de Chillán y Chillán Viejo, y cómo se sitúa esa concentración respecto de los centros comerciales existentes?</w:t>
      </w:r>
    </w:p>
    <w:p w14:paraId="366ABD2E" w14:textId="77777777" w:rsidR="00286B77" w:rsidRDefault="00000000">
      <w:pPr>
        <w:spacing w:after="160"/>
        <w:jc w:val="both"/>
      </w:pPr>
      <w:r>
        <w:t>No se trata de ilustrar el informe, sino de contrastar visualmente las dos capas construidas —demanda y oferta— para identificar si coinciden o no en el territorio. Las regularidades que el mapa sugiera serán formalizadas en el Avance 2 mediante la matriz de pesos espaciales, el índice de Moran global y el análisis LISA.</w:t>
      </w:r>
    </w:p>
    <w:p w14:paraId="37E8684D" w14:textId="77777777" w:rsidR="00286B77" w:rsidRDefault="00000000">
      <w:pPr>
        <w:pStyle w:val="Ttulo2"/>
      </w:pPr>
      <w:r>
        <w:t>3.2 Variable(s) a mapear</w:t>
      </w:r>
    </w:p>
    <w:p w14:paraId="69F61C99" w14:textId="77777777" w:rsidR="00286B77" w:rsidRDefault="00000000">
      <w:pPr>
        <w:spacing w:after="160"/>
        <w:jc w:val="both"/>
      </w:pPr>
      <w:r>
        <w:t>Se representa la demanda potencial por manzana (variable dp), definida en el apartado 2.4 como el producto entre la población residente y el índice socioeconómico. Se eligió esta variable, y no la población, porque es la que responde directamente a la pregunta de investigación: la población por sí sola no distingue entre sectores con distinta capacidad de gasto, y su correlación con el índice socioeconómico es de apenas 0,06.</w:t>
      </w:r>
    </w:p>
    <w:p w14:paraId="21B4167D" w14:textId="77777777" w:rsidR="00286B77" w:rsidRDefault="00000000">
      <w:pPr>
        <w:spacing w:after="160"/>
        <w:jc w:val="both"/>
      </w:pPr>
      <w:r>
        <w:t>Sobre esa base se superpone, como capa de puntos, la localización de los 30 centros comerciales, galerías y edificios de oficinas geocodificados.</w:t>
      </w:r>
    </w:p>
    <w:p w14:paraId="14CF8B62" w14:textId="77777777" w:rsidR="00286B77" w:rsidRDefault="00000000">
      <w:pPr>
        <w:pStyle w:val="Ttulo2"/>
      </w:pPr>
      <w:r>
        <w:t>3.3 Unidad y escala cartográfica</w:t>
      </w:r>
    </w:p>
    <w:p w14:paraId="7922FD7F" w14:textId="77777777" w:rsidR="00286B77" w:rsidRDefault="00000000">
      <w:pPr>
        <w:spacing w:after="160"/>
        <w:jc w:val="both"/>
      </w:pPr>
      <w:r>
        <w:t>La variable se representa a nivel de manzana censal urbana, la misma unidad definida en el apartado 1.5. El mapa cubre el continuo urbano de Chillán y Chillán Viejo y está construido sobre EPSG:32718, de modo que la escala gráfica está expresada en metros.</w:t>
      </w:r>
    </w:p>
    <w:p w14:paraId="4E63FB9B" w14:textId="77777777" w:rsidR="00286B77" w:rsidRDefault="00000000">
      <w:pPr>
        <w:spacing w:after="160"/>
        <w:jc w:val="both"/>
      </w:pPr>
      <w:r>
        <w:t>Las localidades urbanas menores de Chillán Viejo, físicamente separadas del continuo principal, aparecen en el sector oriente del mapa. Se conservan porque forman parte del universo de análisis, aunque su separación obliga a leer con cuidado la comparación visual de distancias.</w:t>
      </w:r>
    </w:p>
    <w:p w14:paraId="6CB8368F" w14:textId="77777777" w:rsidR="00286B77" w:rsidRDefault="00000000">
      <w:pPr>
        <w:pStyle w:val="Ttulo2"/>
      </w:pPr>
      <w:r>
        <w:lastRenderedPageBreak/>
        <w:t>3.4 Mapa</w:t>
      </w:r>
    </w:p>
    <w:p w14:paraId="7211F033" w14:textId="77777777" w:rsidR="00286B77" w:rsidRDefault="00000000">
      <w:pPr>
        <w:jc w:val="center"/>
      </w:pPr>
      <w:r>
        <w:rPr>
          <w:noProof/>
        </w:rPr>
        <w:drawing>
          <wp:inline distT="0" distB="0" distL="0" distR="0" wp14:anchorId="32C201DB" wp14:editId="57CE0E04">
            <wp:extent cx="5760000" cy="5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1_demanda_potencial.png"/>
                    <pic:cNvPicPr/>
                  </pic:nvPicPr>
                  <pic:blipFill>
                    <a:blip r:embed="rId6"/>
                    <a:stretch>
                      <a:fillRect/>
                    </a:stretch>
                  </pic:blipFill>
                  <pic:spPr>
                    <a:xfrm>
                      <a:off x="0" y="0"/>
                      <a:ext cx="5760000" cy="5040000"/>
                    </a:xfrm>
                    <a:prstGeom prst="rect">
                      <a:avLst/>
                    </a:prstGeom>
                  </pic:spPr>
                </pic:pic>
              </a:graphicData>
            </a:graphic>
          </wp:inline>
        </w:drawing>
      </w:r>
    </w:p>
    <w:p w14:paraId="3538D63B" w14:textId="77777777" w:rsidR="00286B77" w:rsidRDefault="00000000">
      <w:pPr>
        <w:spacing w:after="160"/>
        <w:jc w:val="center"/>
      </w:pPr>
      <w:r>
        <w:rPr>
          <w:sz w:val="18"/>
        </w:rPr>
        <w:t>Mapa 1. Demanda potencial de consumo y localización de centros comerciales. Área urbana de Chillán y Chillán Viejo, 2024. Elaboración propia a partir del Censo de Población y Vivienda 2024 (INE) y catastro propio geocodificado.</w:t>
      </w:r>
    </w:p>
    <w:p w14:paraId="607F5918" w14:textId="77777777" w:rsidR="00286B77" w:rsidRDefault="00000000">
      <w:pPr>
        <w:pStyle w:val="Ttulo2"/>
      </w:pPr>
      <w:r>
        <w:t>3.5 Clasificación e interpretación visual</w:t>
      </w:r>
    </w:p>
    <w:p w14:paraId="1089C863" w14:textId="77777777" w:rsidR="00286B77" w:rsidRDefault="00000000">
      <w:pPr>
        <w:spacing w:after="160"/>
        <w:jc w:val="both"/>
      </w:pPr>
      <w:r>
        <w:t>Se utilizó una clasificación por quintiles, que asigna aproximadamente el mismo número de manzanas a cada clase. Se prefirió por sobre los intervalos iguales porque la demanda potencial es una variable fuertemente asimétrica —su media es 29,4 y su máximo 1.967,7—, de modo que una clasificación de intervalos iguales dejaría casi todas las manzanas en la primera clase y el mapa sería ilegible.</w:t>
      </w:r>
    </w:p>
    <w:p w14:paraId="10D92934" w14:textId="77777777" w:rsidR="00286B77" w:rsidRDefault="00000000">
      <w:pPr>
        <w:spacing w:after="160"/>
        <w:jc w:val="both"/>
      </w:pPr>
      <w:r>
        <w:t xml:space="preserve">Las 647 manzanas sin población residente se representan en una clase gris independiente y no se incluyen en el cálculo de los quintiles. Si se incorporaran, el primer quintil quedaría íntegramente compuesto por ceros y se perdería una de las cinco clases disponibles para describir las manzanas que sí tienen demanda. Esta distinción es además sustantiva: una </w:t>
      </w:r>
      <w:r>
        <w:lastRenderedPageBreak/>
        <w:t>manzana sin residentes no es una manzana de demanda baja, es una manzana de otra naturaleza —comercial, industrial o de equipamiento—.</w:t>
      </w:r>
    </w:p>
    <w:p w14:paraId="760E5BF2" w14:textId="77777777" w:rsidR="00286B77" w:rsidRDefault="00000000">
      <w:pPr>
        <w:spacing w:after="160"/>
        <w:jc w:val="both"/>
      </w:pPr>
      <w:r>
        <w:t>Se optó por una rampa secuencial de azules de un solo tono, apropiada para una variable que ordena de menor a mayor, y por un color rojo de alto contraste para los puntos de la oferta comercial, de modo que ambas capas se distingan sin competir entre sí.</w:t>
      </w:r>
    </w:p>
    <w:p w14:paraId="1FEA4BA0" w14:textId="77777777" w:rsidR="00286B77" w:rsidRDefault="00000000">
      <w:pPr>
        <w:pStyle w:val="Ttulo2"/>
      </w:pPr>
      <w:r>
        <w:t>3.6 Lectura inicial del patrón</w:t>
      </w:r>
    </w:p>
    <w:p w14:paraId="7A640493" w14:textId="77777777" w:rsidR="00286B77" w:rsidRDefault="00000000">
      <w:pPr>
        <w:spacing w:after="160"/>
        <w:jc w:val="both"/>
      </w:pPr>
      <w:r>
        <w:t>El mapa muestra que la demanda potencial no se distribuye de manera uniforme en el territorio. Los valores más altos se observan en las coronas periféricas de la ciudad, en particular hacia el norte y el oriente, mientras que el centro urbano concentra manzanas de los quintiles inferiores y buena parte de las manzanas sin población residente.</w:t>
      </w:r>
    </w:p>
    <w:p w14:paraId="6A10783B" w14:textId="77777777" w:rsidR="00286B77" w:rsidRDefault="00000000">
      <w:pPr>
        <w:spacing w:after="160"/>
        <w:jc w:val="both"/>
      </w:pPr>
      <w:r>
        <w:t>La distribución es marcadamente concentrada: el 5% de las manzanas reúne cerca del 40% de la demanda potencial estimada, y el 20% reúne aproximadamente dos tercios.</w:t>
      </w:r>
    </w:p>
    <w:p w14:paraId="14E160F4" w14:textId="77777777" w:rsidR="00286B77" w:rsidRDefault="00000000">
      <w:pPr>
        <w:spacing w:after="160"/>
        <w:jc w:val="both"/>
      </w:pPr>
      <w:r>
        <w:t>El contraste entre ambas capas es el hallazgo visual más relevante de este avance. Los centros comerciales aparecen agrupados en el centro de la ciudad, es decir, sobre las manzanas de menor demanda potencial residente: 17 de los 30 establecimientos geocodificados se localizan en manzanas del quintil inferior. Coherentemente, solo el 16,7% de la demanda potencial se sitúa a menos de 500 metros de algún establecimiento y el 36,6% a menos de 800 metros, mientras que la distancia mediana de una manzana al centro comercial más cercano alcanza los 1.065 metros.</w:t>
      </w:r>
    </w:p>
    <w:p w14:paraId="25512B3D" w14:textId="77777777" w:rsidR="00286B77" w:rsidRDefault="00000000">
      <w:pPr>
        <w:spacing w:after="160"/>
        <w:jc w:val="both"/>
      </w:pPr>
      <w:r>
        <w:t>Una lectura preliminar de este contraste es que la oferta comercial de Chillán parece responder a la centralidad y al flujo de personas más que a la demanda residente de su entorno inmediato, lo que resulta consistente con la limitación de población flotante señalada en el apartado 2.8. Desde el punto de vista de una decisión de localización, esto sugiere la existencia de sectores periféricos con demanda potencial alta y sin oferta cercana, que constituyen candidatos a evaluar en las etapas siguientes.</w:t>
      </w:r>
    </w:p>
    <w:p w14:paraId="35F47849" w14:textId="77777777" w:rsidR="00286B77" w:rsidRDefault="00000000">
      <w:pPr>
        <w:spacing w:after="160"/>
        <w:jc w:val="both"/>
      </w:pPr>
      <w:r>
        <w:rPr>
          <w:i/>
          <w:sz w:val="20"/>
        </w:rPr>
        <w:t>Se trata, por ahora, de una lectura visual y descriptiva. Determinar si estas concentraciones constituyen conglomerados estadísticamente significativos requiere las herramientas del Avance 2 (matriz de pesos espaciales, I de Moran y LISA), y estimar la demanda efectivamente captada por cada establecimiento requiere el modelo de Huff previsto para el informe final.</w:t>
      </w:r>
    </w:p>
    <w:p w14:paraId="7EB75A0A" w14:textId="77777777" w:rsidR="00286B77" w:rsidRDefault="00000000">
      <w:pPr>
        <w:pStyle w:val="Ttulo1"/>
      </w:pPr>
      <w:r>
        <w:t>4. Organización y reproducibilidad</w:t>
      </w:r>
    </w:p>
    <w:p w14:paraId="5B062373" w14:textId="77777777" w:rsidR="00286B77" w:rsidRDefault="00000000">
      <w:pPr>
        <w:spacing w:after="160"/>
        <w:jc w:val="both"/>
      </w:pPr>
      <w:r>
        <w:t>El proyecto se organiza en una carpeta con la estructura mínima trabajada en la asignatura:</w:t>
      </w:r>
    </w:p>
    <w:p w14:paraId="158AC953" w14:textId="77777777" w:rsidR="00286B77" w:rsidRDefault="00000000">
      <w:pPr>
        <w:spacing w:after="160"/>
        <w:jc w:val="both"/>
      </w:pPr>
      <w:r>
        <w:t>01_data_raw: archivos originales sin modificar (cartografía censal del INE, diccionario de variables y planilla del catastro comercial geocodificado).</w:t>
      </w:r>
    </w:p>
    <w:p w14:paraId="085A20C4" w14:textId="77777777" w:rsidR="00286B77" w:rsidRDefault="00000000">
      <w:pPr>
        <w:spacing w:after="160"/>
        <w:jc w:val="both"/>
      </w:pPr>
      <w:r>
        <w:t>02_scripts: rutinas de procesamiento, numeradas según el orden de ejecución.</w:t>
      </w:r>
    </w:p>
    <w:p w14:paraId="04A7A7BE" w14:textId="77777777" w:rsidR="00286B77" w:rsidRDefault="00000000">
      <w:pPr>
        <w:spacing w:after="160"/>
        <w:jc w:val="both"/>
      </w:pPr>
      <w:r>
        <w:t>03_output: capas procesadas, tablas de resultados y mapas.</w:t>
      </w:r>
    </w:p>
    <w:p w14:paraId="2EDAE1C4" w14:textId="77777777" w:rsidR="00286B77" w:rsidRDefault="00000000">
      <w:pPr>
        <w:spacing w:after="160"/>
        <w:jc w:val="both"/>
      </w:pPr>
      <w:r>
        <w:t>04_report: el presente informe.</w:t>
      </w:r>
    </w:p>
    <w:p w14:paraId="1E13E975" w14:textId="77777777" w:rsidR="00286B77" w:rsidRDefault="00000000">
      <w:pPr>
        <w:spacing w:after="160"/>
        <w:jc w:val="both"/>
      </w:pPr>
      <w:r>
        <w:lastRenderedPageBreak/>
        <w:t>El flujo de trabajo va desde los datos originales hasta el informe sin pasos manuales no documentados: datos originales → selección territorial y filtro urbano → reproyección a EPSG:32718 → construcción del índice y de la demanda potencial → estadísticas descriptivas → cartografía → informe. Cada paso está escrito en un script ejecutable, de modo que la base final y el mapa pueden reconstruirse desde los archivos originales.</w:t>
      </w:r>
    </w:p>
    <w:p w14:paraId="7CEFEB64" w14:textId="77777777" w:rsidR="00286B77" w:rsidRDefault="00000000">
      <w:pPr>
        <w:spacing w:after="160"/>
        <w:jc w:val="both"/>
      </w:pPr>
      <w:r>
        <w:t>Las decisiones metodológicas que no quedan expresadas en el código —el filtro de área urbana, el tratamiento de las manzanas sin población, la selección de las variables del índice y el criterio de clasificación del mapa— están documentadas en los apartados 2.7, 2.8 y 3.5 de este informe.</w:t>
      </w:r>
    </w:p>
    <w:p w14:paraId="1B265CE2" w14:textId="77777777" w:rsidR="00286B77" w:rsidRDefault="00000000">
      <w:pPr>
        <w:spacing w:after="160"/>
        <w:jc w:val="both"/>
      </w:pPr>
      <w:r>
        <w:t>[COMPLETAR: si suben el proyecto a un repositorio o carpeta compartida, indicar aquí el enlace.]</w:t>
      </w:r>
    </w:p>
    <w:p w14:paraId="29C5FFD4" w14:textId="77777777" w:rsidR="00286B77" w:rsidRDefault="00000000">
      <w:pPr>
        <w:pStyle w:val="Ttulo1"/>
      </w:pPr>
      <w:r>
        <w:t>5. Declaración de uso de herramientas de IA</w:t>
      </w:r>
    </w:p>
    <w:p w14:paraId="2BF4248F" w14:textId="77777777" w:rsidR="00286B77" w:rsidRDefault="00000000">
      <w:pPr>
        <w:spacing w:after="160"/>
        <w:jc w:val="both"/>
      </w:pPr>
      <w:r>
        <w:t>[REVISAR Y AJUSTAR ANTES DE ENTREGAR: esta declaración debe reflejar exactamente lo que ustedes hicieron.]</w:t>
      </w:r>
    </w:p>
    <w:p w14:paraId="502B52CC" w14:textId="77777777" w:rsidR="00286B77" w:rsidRDefault="00000000">
      <w:pPr>
        <w:spacing w:after="160"/>
        <w:jc w:val="both"/>
      </w:pPr>
      <w:r>
        <w:t>En la elaboración de este informe se utilizó el asistente de inteligencia artificial Claude (Anthropic) como herramienta de apoyo. Su uso se concentró en las siguientes tareas:</w:t>
      </w:r>
    </w:p>
    <w:p w14:paraId="29143593" w14:textId="77777777" w:rsidR="00286B77" w:rsidRDefault="00000000">
      <w:pPr>
        <w:spacing w:after="160"/>
        <w:jc w:val="both"/>
      </w:pPr>
      <w:r>
        <w:t>a)  Exploración y descripción de la base censal: revisión de la estructura del archivo, cálculo de estadísticas descriptivas y de las correlaciones entre variables candidatas.</w:t>
      </w:r>
    </w:p>
    <w:p w14:paraId="07581D99" w14:textId="77777777" w:rsidR="00286B77" w:rsidRDefault="00000000">
      <w:pPr>
        <w:spacing w:after="160"/>
        <w:jc w:val="both"/>
      </w:pPr>
      <w:r>
        <w:t>b)  Apoyo en la geocodificación del catastro comercial y en el contraste entre las direcciones obtenidas en Google Maps y en OpenStreetMap.</w:t>
      </w:r>
    </w:p>
    <w:p w14:paraId="5A743E36" w14:textId="77777777" w:rsidR="00286B77" w:rsidRDefault="00000000">
      <w:pPr>
        <w:spacing w:after="160"/>
        <w:jc w:val="both"/>
      </w:pPr>
      <w:r>
        <w:t>c)  Escritura del código de procesamiento en Python para la construcción del índice y la generación de la cartografía.</w:t>
      </w:r>
    </w:p>
    <w:p w14:paraId="38839055" w14:textId="77777777" w:rsidR="00286B77" w:rsidRDefault="00000000">
      <w:pPr>
        <w:spacing w:after="160"/>
        <w:jc w:val="both"/>
      </w:pPr>
      <w:r>
        <w:t>d)  Revisión crítica y edición de la redacción de los apartados del informe.</w:t>
      </w:r>
    </w:p>
    <w:p w14:paraId="2A44EA3E" w14:textId="77777777" w:rsidR="00286B77" w:rsidRDefault="00000000">
      <w:pPr>
        <w:spacing w:after="160"/>
        <w:jc w:val="both"/>
      </w:pPr>
      <w:r>
        <w:t>Las decisiones metodológicas —la definición de la demanda potencial, la selección de las variables del índice, la elección de la unidad espacial y del criterio de clasificación cartográfica— fueron adoptadas y son explicables por los autores. Los resultados numéricos y cartográficos fueron verificados contra las fuentes originales. No se utilizó la herramienta para generar contenido que los autores no puedan fundamentar.</w:t>
      </w:r>
    </w:p>
    <w:p w14:paraId="30DB0C70" w14:textId="77777777" w:rsidR="00286B77" w:rsidRDefault="00000000">
      <w:pPr>
        <w:pStyle w:val="Ttulo1"/>
      </w:pPr>
      <w:r>
        <w:t>6. Declaración de aportes individuales</w:t>
      </w:r>
    </w:p>
    <w:p w14:paraId="5E78FC34" w14:textId="77777777" w:rsidR="00286B77" w:rsidRDefault="00000000">
      <w:pPr>
        <w:spacing w:after="160"/>
        <w:jc w:val="both"/>
      </w:pPr>
      <w:r>
        <w:t>[COMPLETAR ENTRE LOS DOS ANTES DE ENTREGAR. La rúbrica exige porcentaje de aporte y detalle de tareas por integrante, y evalúa que sea coherente con el contenido del informe. Los porcentajes deben sumar 100%.]</w:t>
      </w:r>
    </w:p>
    <w:p w14:paraId="627036B9" w14:textId="77777777" w:rsidR="00286B77" w:rsidRDefault="00000000">
      <w:pPr>
        <w:spacing w:after="160"/>
        <w:jc w:val="both"/>
      </w:pPr>
      <w:r>
        <w:t>Nacho Sepúlveda Sepúlveda — [__]% de aporte.</w:t>
      </w:r>
    </w:p>
    <w:p w14:paraId="05F03D43" w14:textId="77777777" w:rsidR="00286B77" w:rsidRDefault="00000000">
      <w:pPr>
        <w:spacing w:after="160"/>
        <w:jc w:val="both"/>
      </w:pPr>
      <w:r>
        <w:t>Apartados y tareas: [detallar, por ejemplo: formulación del problema, procesamiento de la base censal, construcción del índice, cartografía, redacción de los apartados __ a __].</w:t>
      </w:r>
    </w:p>
    <w:p w14:paraId="6C6AF5F3" w14:textId="77777777" w:rsidR="00286B77" w:rsidRDefault="00000000">
      <w:pPr>
        <w:spacing w:after="160"/>
        <w:jc w:val="both"/>
      </w:pPr>
      <w:r>
        <w:lastRenderedPageBreak/>
        <w:t>Eduardo Guerrero — [__]% de aporte.</w:t>
      </w:r>
    </w:p>
    <w:p w14:paraId="5E6A5779" w14:textId="77777777" w:rsidR="00286B77" w:rsidRDefault="00000000">
      <w:pPr>
        <w:spacing w:after="160"/>
        <w:jc w:val="both"/>
      </w:pPr>
      <w:r>
        <w:t>Apartados y tareas: [detallar, por ejemplo: levantamiento y verificación del catastro comercial, estadísticas descriptivas, redacción de los apartados __ a __].</w:t>
      </w:r>
    </w:p>
    <w:p w14:paraId="30AAA1E3" w14:textId="77777777" w:rsidR="00286B77" w:rsidRDefault="00000000">
      <w:pPr>
        <w:pStyle w:val="Ttulo1"/>
      </w:pPr>
      <w:r>
        <w:t>7. Anexos</w:t>
      </w:r>
    </w:p>
    <w:p w14:paraId="1D114EA5" w14:textId="77777777" w:rsidR="00286B77" w:rsidRDefault="00000000">
      <w:pPr>
        <w:spacing w:after="160"/>
        <w:jc w:val="both"/>
      </w:pPr>
      <w:r>
        <w:t>Anexo 1. Catastro de centros comerciales, galerías y edificios de oficinas de Chillán y Chillán Viejo: 31 establecimientos con dirección, coordenadas, fuente, fecha de verificación y observaciones pendientes (archivo Catastro_centros_comerciales_Chillan_geocodificado.xlsx).</w:t>
      </w:r>
    </w:p>
    <w:p w14:paraId="3C02C6DD" w14:textId="77777777" w:rsidR="00286B77" w:rsidRDefault="00000000">
      <w:pPr>
        <w:spacing w:after="160"/>
        <w:jc w:val="both"/>
      </w:pPr>
      <w:r>
        <w:t>Anexo 2. Scripts de procesamiento utilizados para construir la base final, calcular las estadísticas descriptivas y generar la cartografía.</w:t>
      </w:r>
    </w:p>
    <w:p w14:paraId="5193EB98" w14:textId="77777777" w:rsidR="00286B77" w:rsidRDefault="00000000">
      <w:pPr>
        <w:spacing w:after="160"/>
        <w:jc w:val="both"/>
      </w:pPr>
      <w:r>
        <w:t>[Agregar aquí cualquier otro material de respaldo. No incluir anexos que no aporten.]</w:t>
      </w:r>
    </w:p>
    <w:sectPr w:rsidR="00286B7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4373950">
    <w:abstractNumId w:val="8"/>
  </w:num>
  <w:num w:numId="2" w16cid:durableId="1437288791">
    <w:abstractNumId w:val="6"/>
  </w:num>
  <w:num w:numId="3" w16cid:durableId="322129712">
    <w:abstractNumId w:val="5"/>
  </w:num>
  <w:num w:numId="4" w16cid:durableId="261888194">
    <w:abstractNumId w:val="4"/>
  </w:num>
  <w:num w:numId="5" w16cid:durableId="1479415126">
    <w:abstractNumId w:val="7"/>
  </w:num>
  <w:num w:numId="6" w16cid:durableId="1354922691">
    <w:abstractNumId w:val="3"/>
  </w:num>
  <w:num w:numId="7" w16cid:durableId="1968929580">
    <w:abstractNumId w:val="2"/>
  </w:num>
  <w:num w:numId="8" w16cid:durableId="1004433348">
    <w:abstractNumId w:val="1"/>
  </w:num>
  <w:num w:numId="9" w16cid:durableId="854148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B77"/>
    <w:rsid w:val="0029639D"/>
    <w:rsid w:val="00326F90"/>
    <w:rsid w:val="005752CC"/>
    <w:rsid w:val="006C4497"/>
    <w:rsid w:val="00AA1D8D"/>
    <w:rsid w:val="00B47730"/>
    <w:rsid w:val="00CB0664"/>
    <w:rsid w:val="00F95D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D6FD5"/>
  <w14:defaultImageDpi w14:val="300"/>
  <w15:docId w15:val="{B2663F48-6CF3-4146-8164-25313AD87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4300</Words>
  <Characters>23650</Characters>
  <Application>Microsoft Office Word</Application>
  <DocSecurity>0</DocSecurity>
  <Lines>197</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Cristobal Sepulveda</cp:lastModifiedBy>
  <cp:revision>2</cp:revision>
  <dcterms:created xsi:type="dcterms:W3CDTF">2013-12-23T23:15:00Z</dcterms:created>
  <dcterms:modified xsi:type="dcterms:W3CDTF">2026-09-10T01:40:00Z</dcterms:modified>
  <cp:category/>
</cp:coreProperties>
</file>