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EA68DF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EA68DF">
        <w:rPr>
          <w:rFonts w:ascii="Times New Roman" w:hAnsi="Times New Roman" w:cs="Times New Roman"/>
          <w:sz w:val="38"/>
          <w:szCs w:val="38"/>
          <w:lang w:val="ro-MD"/>
        </w:rPr>
        <w:t>Emulator pentru Nintendo Entertainment System</w:t>
      </w: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EA68DF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EA68DF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EA68DF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EA68DF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EA68DF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EA68DF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EA68DF" w:rsidRDefault="007C7768" w:rsidP="007C7768">
      <w:pPr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  <w:t>§1.1.1 Descrierea pinout a procesorului .................................................................. 6</w:t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1.1.3 Moduri de adresare .......................................................................................</w:t>
      </w:r>
      <w:r w:rsidR="000C34D7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bookmarkStart w:id="0" w:name="_GoBack"/>
      <w:bookmarkEnd w:id="0"/>
    </w:p>
    <w:p w:rsidR="007C7768" w:rsidRPr="00EA68DF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EA68DF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EA68DF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EA68DF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EA68DF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EA68DF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, unele dintre ele fiind considerate legendare: „Super Mario Bros”, „Donkey Kong”, „Legend of Zelda”, „Tetris”, „PAC-MAN”, etc.</w:t>
      </w:r>
    </w:p>
    <w:p w:rsidR="0084189F" w:rsidRPr="00EA68DF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EA68DF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EA68DF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EA68DF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Device</w:t>
      </w:r>
    </w:p>
    <w:p w:rsidR="00593C6E" w:rsidRPr="00593C6E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r w:rsidR="000554F0">
        <w:rPr>
          <w:rFonts w:ascii="Times New Roman" w:hAnsi="Times New Roman" w:cs="Times New Roman"/>
          <w:sz w:val="24"/>
          <w:szCs w:val="30"/>
          <w:lang w:val="ro-MD"/>
        </w:rPr>
        <w:t>Aritmetico-L</w:t>
      </w:r>
      <w:r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Processing Unit</w:t>
      </w:r>
    </w:p>
    <w:p w:rsidR="008A1399" w:rsidRPr="00EA68DF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Binary-Coded Decimal</w:t>
      </w:r>
    </w:p>
    <w:p w:rsidR="00D635B6" w:rsidRPr="00EA68DF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Checking Integrated Circuit</w:t>
      </w:r>
    </w:p>
    <w:p w:rsidR="00F84B21" w:rsidRPr="00EA68DF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Complex Instruction-Set Computing</w:t>
      </w:r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EA68DF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Character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Central Processing Unit</w:t>
      </w:r>
    </w:p>
    <w:p w:rsidR="001656DD" w:rsidRPr="00EA68DF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Cartridge Reader</w:t>
      </w:r>
    </w:p>
    <w:p w:rsidR="000D1E6F" w:rsidRPr="00EA68DF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Composite Video Baseband Signal</w:t>
      </w:r>
    </w:p>
    <w:p w:rsidR="00372EC5" w:rsidRPr="00EA68DF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EA68DF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Memory Bus</w:t>
      </w:r>
    </w:p>
    <w:p w:rsidR="00837221" w:rsidRPr="00EA68DF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Memory Mapper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Nintendo Entertainment System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Picture Processing Unit</w:t>
      </w:r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EA68DF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Random Access Memory</w:t>
      </w:r>
    </w:p>
    <w:p w:rsidR="00F9509D" w:rsidRPr="00EA68DF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Read / Write</w:t>
      </w:r>
    </w:p>
    <w:p w:rsidR="002F75D2" w:rsidRPr="00EA68DF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Read Only</w:t>
      </w:r>
    </w:p>
    <w:p w:rsidR="00117A0A" w:rsidRPr="00EA68DF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Rendering Window</w:t>
      </w:r>
    </w:p>
    <w:p w:rsidR="001836D0" w:rsidRPr="00EA68DF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Write Only</w:t>
      </w:r>
    </w:p>
    <w:p w:rsidR="0072596C" w:rsidRPr="00EA68DF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EA68DF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EA68DF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r w:rsidR="00A77D3A" w:rsidRPr="00EA68DF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cartridge: memoria de program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mapper de memorie (opțional) și un alte cip de securitate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EA68DF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EA68DF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EA68DF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EA68DF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30"/>
          <w:lang w:val="ro-MD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EA68DF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EA68DF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EA68DF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EA68DF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EA68DF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EA68DF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Ricoh RP2A03 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EA68DF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EA68DF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>§1.1.1 Descrierea pinout a procesorului</w:t>
      </w:r>
    </w:p>
    <w:p w:rsidR="00A93E43" w:rsidRPr="00EA68DF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EA68DF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EA68DF">
        <w:rPr>
          <w:rFonts w:ascii="Times New Roman" w:hAnsi="Times New Roman" w:cs="Times New Roman"/>
          <w:i/>
          <w:szCs w:val="26"/>
          <w:lang w:val="ro-MD"/>
        </w:rPr>
        <w:t>figura 1.2 (RP2A03 / RP2A07 pinout)</w:t>
      </w:r>
    </w:p>
    <w:p w:rsidR="006925F3" w:rsidRPr="00EA68DF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EA68DF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Pin de reset activ pe 0</w:t>
      </w:r>
    </w:p>
    <w:p w:rsidR="008D1FF8" w:rsidRPr="00EA68DF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EA68DF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</w:t>
      </w: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D0</w:t>
      </w: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:</w:t>
      </w: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D7</w:t>
      </w: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]</w:t>
      </w:r>
      <w:r w:rsidR="0081403B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EA68DF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Intrare de clock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EA68DF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EA68DF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„signals ready”. Semnalează perifericelor că datele sunt disponibile pe </w:t>
      </w:r>
      <w:r w:rsidR="00161E18" w:rsidRPr="00EA68DF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EA68DF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EA68DF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EA68DF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EA68DF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EA68DF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1.1.2 Regiștrii procesorului</w:t>
      </w:r>
    </w:p>
    <w:p w:rsidR="004905DF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>), un program counter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>), un stack pointer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>) și un registru de flag-uri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aritmetico-logică pentru stocarea rezultatelor operațiilor în modul de adresare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053507">
        <w:rPr>
          <w:rFonts w:ascii="Consolas" w:hAnsi="Consolas" w:cs="Times New Roman"/>
          <w:sz w:val="24"/>
          <w:szCs w:val="26"/>
          <w:lang w:val="ro-MD"/>
        </w:rPr>
        <w:t xml:space="preserve">$(SP) </w:t>
      </w:r>
      <w:r>
        <w:rPr>
          <w:rFonts w:ascii="Consolas" w:hAnsi="Consolas" w:cs="Times New Roman"/>
          <w:sz w:val="24"/>
          <w:szCs w:val="26"/>
          <w:lang w:val="ro-MD"/>
        </w:rPr>
        <w:t>| 0x0100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Registrul de flag-uri conține informații despre starea procesorului. Acesta poate fi modificat de unitatea aritmetico-logică și de sistemul de întreruperi. Valorile anumitor biți din acest registru determină rezultatul instrucțiunilor de salt condiționat</w:t>
      </w:r>
      <w:r w:rsidR="00DA3779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DA3779">
        <w:rPr>
          <w:rFonts w:ascii="Times New Roman" w:hAnsi="Times New Roman" w:cs="Times New Roman"/>
          <w:sz w:val="24"/>
          <w:szCs w:val="26"/>
          <w:lang w:val="ro-MD"/>
        </w:rPr>
        <w:t>)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Tr="00DA3779">
        <w:trPr>
          <w:jc w:val="center"/>
        </w:trPr>
        <w:tc>
          <w:tcPr>
            <w:tcW w:w="477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figura 1.3 (registrul de flag-uri)</w:t>
      </w:r>
    </w:p>
    <w:p w:rsidR="00963DAD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>
        <w:rPr>
          <w:rFonts w:ascii="Times New Roman" w:hAnsi="Times New Roman" w:cs="Times New Roman"/>
          <w:sz w:val="24"/>
          <w:szCs w:val="26"/>
          <w:lang w:val="ro-MD"/>
        </w:rPr>
        <w:t>(inhibit)</w:t>
      </w:r>
      <w:r w:rsidR="004C421D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92034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(overflow) – este setat de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overflow.</w:t>
      </w:r>
    </w:p>
    <w:p w:rsidR="00C82897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C82897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($0000 - $FFFF).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D466B3">
              <w:rPr>
                <w:rFonts w:ascii="Consolas" w:hAnsi="Consolas" w:cs="Times New Roman"/>
                <w:lang w:val="ro-MD"/>
              </w:rPr>
              <w:t>$0000-$07FF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CD7C9B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502D95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502D95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Vectorii de întreruperi și de reset se găsesc la adresele:</w:t>
      </w:r>
      <w:r w:rsidR="00B06DF5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B06DF5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$FFFA-$FFFB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$FFFC-$FFFD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F0058" w:rsidRPr="00872493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$FFFE-$FFFF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525920">
        <w:rPr>
          <w:rFonts w:ascii="Times New Roman" w:hAnsi="Times New Roman" w:cs="Times New Roman"/>
          <w:sz w:val="24"/>
          <w:szCs w:val="26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Pr="00872493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73291B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sectPr w:rsidR="00872493" w:rsidRPr="00872493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26D" w:rsidRDefault="0001626D" w:rsidP="00642BB9">
      <w:pPr>
        <w:spacing w:after="0" w:line="240" w:lineRule="auto"/>
      </w:pPr>
      <w:r>
        <w:separator/>
      </w:r>
    </w:p>
  </w:endnote>
  <w:endnote w:type="continuationSeparator" w:id="0">
    <w:p w:rsidR="0001626D" w:rsidRDefault="0001626D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4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4D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26D" w:rsidRDefault="0001626D" w:rsidP="00642BB9">
      <w:pPr>
        <w:spacing w:after="0" w:line="240" w:lineRule="auto"/>
      </w:pPr>
      <w:r>
        <w:separator/>
      </w:r>
    </w:p>
  </w:footnote>
  <w:footnote w:type="continuationSeparator" w:id="0">
    <w:p w:rsidR="0001626D" w:rsidRDefault="0001626D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1094E"/>
    <w:rsid w:val="0001626D"/>
    <w:rsid w:val="00034757"/>
    <w:rsid w:val="00053507"/>
    <w:rsid w:val="000554F0"/>
    <w:rsid w:val="00066FF7"/>
    <w:rsid w:val="000955E7"/>
    <w:rsid w:val="000C06E5"/>
    <w:rsid w:val="000C34D7"/>
    <w:rsid w:val="000D17E7"/>
    <w:rsid w:val="000D1E6F"/>
    <w:rsid w:val="000D23CC"/>
    <w:rsid w:val="00117A0A"/>
    <w:rsid w:val="00133C12"/>
    <w:rsid w:val="00161E18"/>
    <w:rsid w:val="001656DD"/>
    <w:rsid w:val="00182899"/>
    <w:rsid w:val="001836D0"/>
    <w:rsid w:val="001D1F1A"/>
    <w:rsid w:val="002327C3"/>
    <w:rsid w:val="00261D50"/>
    <w:rsid w:val="00275E3B"/>
    <w:rsid w:val="002E30D3"/>
    <w:rsid w:val="002F75D2"/>
    <w:rsid w:val="00346440"/>
    <w:rsid w:val="003651AC"/>
    <w:rsid w:val="00372EC5"/>
    <w:rsid w:val="00385E06"/>
    <w:rsid w:val="00385E62"/>
    <w:rsid w:val="00390C33"/>
    <w:rsid w:val="003B23A1"/>
    <w:rsid w:val="003C16D2"/>
    <w:rsid w:val="003C23C0"/>
    <w:rsid w:val="003F47FB"/>
    <w:rsid w:val="00404E2B"/>
    <w:rsid w:val="00406A33"/>
    <w:rsid w:val="00412BAF"/>
    <w:rsid w:val="00427A3B"/>
    <w:rsid w:val="004459D6"/>
    <w:rsid w:val="00446BC4"/>
    <w:rsid w:val="004550FC"/>
    <w:rsid w:val="00485FD2"/>
    <w:rsid w:val="004905DF"/>
    <w:rsid w:val="004B7651"/>
    <w:rsid w:val="004C421D"/>
    <w:rsid w:val="004E0E9C"/>
    <w:rsid w:val="005002EA"/>
    <w:rsid w:val="00501F00"/>
    <w:rsid w:val="00502D95"/>
    <w:rsid w:val="00503139"/>
    <w:rsid w:val="00525920"/>
    <w:rsid w:val="0056498A"/>
    <w:rsid w:val="00584070"/>
    <w:rsid w:val="00593C6E"/>
    <w:rsid w:val="005A29CA"/>
    <w:rsid w:val="005B1785"/>
    <w:rsid w:val="005B3009"/>
    <w:rsid w:val="005D64AB"/>
    <w:rsid w:val="005E10FC"/>
    <w:rsid w:val="00634916"/>
    <w:rsid w:val="00642BB9"/>
    <w:rsid w:val="00643762"/>
    <w:rsid w:val="0066450A"/>
    <w:rsid w:val="00673161"/>
    <w:rsid w:val="00686BB0"/>
    <w:rsid w:val="006925F3"/>
    <w:rsid w:val="006D2B94"/>
    <w:rsid w:val="006D404B"/>
    <w:rsid w:val="006E11E8"/>
    <w:rsid w:val="006F42F3"/>
    <w:rsid w:val="00716811"/>
    <w:rsid w:val="0072596C"/>
    <w:rsid w:val="0073291B"/>
    <w:rsid w:val="007507E2"/>
    <w:rsid w:val="0077293F"/>
    <w:rsid w:val="007732FA"/>
    <w:rsid w:val="007B2E53"/>
    <w:rsid w:val="007C7768"/>
    <w:rsid w:val="007D36CD"/>
    <w:rsid w:val="007E2973"/>
    <w:rsid w:val="00813E5F"/>
    <w:rsid w:val="0081403B"/>
    <w:rsid w:val="00815C0D"/>
    <w:rsid w:val="00837221"/>
    <w:rsid w:val="0084189F"/>
    <w:rsid w:val="00861F66"/>
    <w:rsid w:val="0086528D"/>
    <w:rsid w:val="00872493"/>
    <w:rsid w:val="00883F71"/>
    <w:rsid w:val="00886A3B"/>
    <w:rsid w:val="0089327B"/>
    <w:rsid w:val="008A1399"/>
    <w:rsid w:val="008A5065"/>
    <w:rsid w:val="008C5FCD"/>
    <w:rsid w:val="008D1FF8"/>
    <w:rsid w:val="00901B6B"/>
    <w:rsid w:val="00920340"/>
    <w:rsid w:val="00937582"/>
    <w:rsid w:val="009431FD"/>
    <w:rsid w:val="00963DAD"/>
    <w:rsid w:val="009B0E04"/>
    <w:rsid w:val="00A05C6A"/>
    <w:rsid w:val="00A226B9"/>
    <w:rsid w:val="00A2470A"/>
    <w:rsid w:val="00A3230F"/>
    <w:rsid w:val="00A43490"/>
    <w:rsid w:val="00A470DB"/>
    <w:rsid w:val="00A77D3A"/>
    <w:rsid w:val="00A93E43"/>
    <w:rsid w:val="00AD3E2D"/>
    <w:rsid w:val="00B06DF5"/>
    <w:rsid w:val="00B07DE5"/>
    <w:rsid w:val="00B17AE1"/>
    <w:rsid w:val="00B302C3"/>
    <w:rsid w:val="00B344E9"/>
    <w:rsid w:val="00B768DB"/>
    <w:rsid w:val="00BD19F2"/>
    <w:rsid w:val="00C540DA"/>
    <w:rsid w:val="00C82897"/>
    <w:rsid w:val="00C9433D"/>
    <w:rsid w:val="00CD7C9B"/>
    <w:rsid w:val="00D04924"/>
    <w:rsid w:val="00D0621E"/>
    <w:rsid w:val="00D266BC"/>
    <w:rsid w:val="00D3151A"/>
    <w:rsid w:val="00D4032D"/>
    <w:rsid w:val="00D466B3"/>
    <w:rsid w:val="00D635B6"/>
    <w:rsid w:val="00D66599"/>
    <w:rsid w:val="00D767A0"/>
    <w:rsid w:val="00DA12ED"/>
    <w:rsid w:val="00DA3779"/>
    <w:rsid w:val="00DD412C"/>
    <w:rsid w:val="00E1591E"/>
    <w:rsid w:val="00E448BA"/>
    <w:rsid w:val="00E56147"/>
    <w:rsid w:val="00E75C10"/>
    <w:rsid w:val="00EA619D"/>
    <w:rsid w:val="00EA68DF"/>
    <w:rsid w:val="00EC4B29"/>
    <w:rsid w:val="00ED453E"/>
    <w:rsid w:val="00EF0058"/>
    <w:rsid w:val="00F41683"/>
    <w:rsid w:val="00F70F20"/>
    <w:rsid w:val="00F84B21"/>
    <w:rsid w:val="00F9509D"/>
    <w:rsid w:val="00FC4FBF"/>
    <w:rsid w:val="00FD6D60"/>
    <w:rsid w:val="00FF036F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A71A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130</cp:revision>
  <dcterms:created xsi:type="dcterms:W3CDTF">2019-03-09T10:14:00Z</dcterms:created>
  <dcterms:modified xsi:type="dcterms:W3CDTF">2019-03-30T14:33:00Z</dcterms:modified>
</cp:coreProperties>
</file>