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Business Report</w:t>
      </w:r>
    </w:p>
    <w:p>
      <w:r>
        <w:t>Executive Summary:</w:t>
      </w:r>
    </w:p>
    <w:p>
      <w:r>
        <w:t>This report provides an overview of business performance for Q3 2025.</w:t>
      </w:r>
    </w:p>
    <w:p>
      <w:pPr>
        <w:pStyle w:val="Heading2"/>
      </w:pPr>
      <w:r>
        <w:t>Revenue Analysis</w:t>
      </w:r>
    </w:p>
    <w:p>
      <w:r>
        <w:t>Total revenue reached $500,000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Revenue</w:t>
            </w:r>
          </w:p>
        </w:tc>
      </w:tr>
      <w:tr>
        <w:tc>
          <w:tcPr>
            <w:tcW w:type="dxa" w:w="4320"/>
          </w:tcPr>
          <w:p>
            <w:r>
              <w:t>Product A</w:t>
            </w:r>
          </w:p>
        </w:tc>
        <w:tc>
          <w:tcPr>
            <w:tcW w:type="dxa" w:w="4320"/>
          </w:tcPr>
          <w:p>
            <w:r>
              <w:t>$200,000</w:t>
            </w:r>
          </w:p>
        </w:tc>
      </w:tr>
      <w:tr>
        <w:tc>
          <w:tcPr>
            <w:tcW w:type="dxa" w:w="4320"/>
          </w:tcPr>
          <w:p>
            <w:r>
              <w:t>Product B</w:t>
            </w:r>
          </w:p>
        </w:tc>
        <w:tc>
          <w:tcPr>
            <w:tcW w:type="dxa" w:w="4320"/>
          </w:tcPr>
          <w:p>
            <w:r>
              <w:t>$150,000</w:t>
            </w:r>
          </w:p>
        </w:tc>
      </w:tr>
      <w:tr>
        <w:tc>
          <w:tcPr>
            <w:tcW w:type="dxa" w:w="4320"/>
          </w:tcPr>
          <w:p>
            <w:r>
              <w:t>Product C</w:t>
            </w:r>
          </w:p>
        </w:tc>
        <w:tc>
          <w:tcPr>
            <w:tcW w:type="dxa" w:w="4320"/>
          </w:tcPr>
          <w:p>
            <w:r>
              <w:t>$150,000</w:t>
            </w:r>
          </w:p>
        </w:tc>
      </w:tr>
    </w:tbl>
    <w:p>
      <w:pPr>
        <w:pStyle w:val="Heading2"/>
      </w:pPr>
      <w:r>
        <w:t>Expenses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Salaries</w:t>
            </w:r>
          </w:p>
        </w:tc>
        <w:tc>
          <w:tcPr>
            <w:tcW w:type="dxa" w:w="4320"/>
          </w:tcPr>
          <w:p>
            <w:r>
              <w:t>$150,000</w:t>
            </w:r>
          </w:p>
        </w:tc>
      </w:tr>
      <w:tr>
        <w:tc>
          <w:tcPr>
            <w:tcW w:type="dxa" w:w="4320"/>
          </w:tcPr>
          <w:p>
            <w:r>
              <w:t>Marketing</w:t>
            </w:r>
          </w:p>
        </w:tc>
        <w:tc>
          <w:tcPr>
            <w:tcW w:type="dxa" w:w="4320"/>
          </w:tcPr>
          <w:p>
            <w:r>
              <w:t>$75,000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$100,000</w:t>
            </w:r>
          </w:p>
        </w:tc>
      </w:tr>
    </w:tbl>
    <w:p>
      <w:pPr>
        <w:pStyle w:val="Heading2"/>
      </w:pPr>
      <w:r>
        <w:t>Conclusions</w:t>
      </w:r>
    </w:p>
    <w:p>
      <w:r>
        <w:t>The quarter showed strong growth with opportunities for expansion.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