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rPr>
          <w:rFonts w:ascii="Arial" w:hAnsi="Arial" w:cs="Arial"/>
          <w:color w:val="0A34E8"/>
          <w:sz w:val="20"/>
          <w:szCs w:val="20"/>
          <w:lang w:val="es-MX"/>
        </w:rPr>
      </w:pPr>
      <w:r>
        <w:rPr>
          <w:rFonts w:ascii="Arial" w:hAnsi="Arial" w:cs="Arial"/>
          <w:color w:val="0A34E8"/>
          <w:sz w:val="20"/>
          <w:szCs w:val="20"/>
          <w:lang w:val="es-MX"/>
        </w:rPr>
        <w:t>[Describir el tema del proyecto en un párrafo (máximo 5 líneas)]</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mortales en la historia[REFERENCIA] se puede llegar a detectar en publicaciones de redes sociales mediante minería de texto y procesamiento del lenguaje natural permitiendo así un mejor control de este.</w:t>
      </w:r>
    </w:p>
    <w:p>
      <w:pPr>
        <w:rPr>
          <w:rFonts w:hint="default" w:ascii="Arial" w:hAnsi="Arial" w:cs="Arial"/>
          <w:color w:val="auto"/>
          <w:sz w:val="20"/>
          <w:szCs w:val="20"/>
          <w:lang w:val="es"/>
        </w:rPr>
      </w:pPr>
      <w:r>
        <w:rPr>
          <w:rFonts w:hint="default" w:ascii="Arial" w:hAnsi="Arial" w:cs="Arial"/>
          <w:color w:val="auto"/>
          <w:sz w:val="20"/>
          <w:szCs w:val="20"/>
          <w:lang w:val="es"/>
        </w:rPr>
        <w:t>Depresión en redes sociales***</w:t>
      </w:r>
    </w:p>
    <w:p>
      <w:pPr>
        <w:rPr>
          <w:rFonts w:hint="default" w:ascii="Arial" w:hAnsi="Arial" w:cs="Arial"/>
          <w:color w:val="FF0000"/>
          <w:sz w:val="20"/>
          <w:szCs w:val="20"/>
          <w:lang w:val="es"/>
        </w:rPr>
      </w:pPr>
      <w:r>
        <w:rPr>
          <w:rFonts w:hint="default" w:ascii="Arial" w:hAnsi="Arial" w:cs="Arial"/>
          <w:color w:val="FF0000"/>
          <w:sz w:val="20"/>
          <w:szCs w:val="20"/>
          <w:lang w:val="es"/>
        </w:rPr>
        <w:t>Las técnicas para obtener información importante a través del texto se basan en el procesamiento del lenguaje natural y cómo un computador puede entender a un humano, sin embargo, para extraer la información se necesita usar minería de texto la cual permite a través de patrones  en el texto derivar información que viene de el.</w:t>
      </w:r>
    </w:p>
    <w:p>
      <w:pPr>
        <w:rPr>
          <w:rFonts w:ascii="Arial" w:hAnsi="Arial" w:cs="Arial"/>
          <w:color w:val="0A34E8"/>
          <w:sz w:val="20"/>
          <w:szCs w:val="20"/>
          <w:lang w:val="es-MX"/>
        </w:rPr>
      </w:pP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BERT Paper Google, Depression.</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The Role of Inflammation in Depression and Fatigue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Frontiers in immunology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 muy fácil padecer un trastorno depresivo, en este caso se demuestra que la inflamación puede producir trastorno depresivo por razones como los antiinflamatorios y el mismo sistema inmunológico, así como muchas de las enfermedades que pueden generar fatiga y esta a su vez, trastorno depresivo.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bdr w:val="none" w:color="auto" w:sz="0" w:space="0"/>
                <w:vertAlign w:val="baseline"/>
              </w:rPr>
              <w:t>Nombre artículo 2:</w:t>
            </w:r>
            <w:r>
              <w:rPr>
                <w:rFonts w:ascii="Arial" w:hAnsi="Arial" w:cs="Arial"/>
                <w:i w:val="0"/>
                <w:color w:val="000000"/>
                <w:sz w:val="20"/>
                <w:szCs w:val="20"/>
                <w:u w:val="none"/>
                <w:bdr w:val="none" w:color="auto" w:sz="0" w:space="0"/>
                <w:vertAlign w:val="baseline"/>
                <w:lang w:val="en-US" w:eastAsia="zh-CN"/>
              </w:rPr>
              <w:t>Prediction</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of</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major</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depressive</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disorder</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onset</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in</w:t>
            </w:r>
            <w:r>
              <w:rPr>
                <w:rFonts w:hint="default" w:ascii="Arial" w:hAnsi="Arial" w:cs="Arial"/>
                <w:i w:val="0"/>
                <w:color w:val="000000"/>
                <w:sz w:val="20"/>
                <w:szCs w:val="20"/>
                <w:u w:val="none"/>
                <w:bdr w:val="none" w:color="auto" w:sz="0" w:space="0"/>
                <w:vertAlign w:val="baseline"/>
                <w:lang w:val="es" w:eastAsia="zh-CN"/>
              </w:rPr>
              <w:t xml:space="preserve"> </w:t>
            </w:r>
            <w:r>
              <w:rPr>
                <w:rFonts w:ascii="Arial" w:hAnsi="Arial" w:cs="Arial"/>
                <w:i w:val="0"/>
                <w:color w:val="000000"/>
                <w:sz w:val="20"/>
                <w:szCs w:val="20"/>
                <w:u w:val="none"/>
                <w:bdr w:val="none" w:color="auto" w:sz="0" w:space="0"/>
                <w:vertAlign w:val="baseline"/>
                <w:lang w:val="en-US" w:eastAsia="zh-CN"/>
              </w:rPr>
              <w:t>college</w:t>
            </w:r>
            <w:r>
              <w:rPr>
                <w:rFonts w:hint="default" w:ascii="Arial" w:hAnsi="Arial" w:cs="Arial"/>
                <w:i w:val="0"/>
                <w:color w:val="000000"/>
                <w:sz w:val="20"/>
                <w:szCs w:val="20"/>
                <w:u w:val="none"/>
                <w:bdr w:val="none" w:color="auto" w:sz="0" w:space="0"/>
                <w:vertAlign w:val="baseline"/>
                <w:lang w:val="es" w:eastAsia="zh-CN"/>
              </w:rPr>
              <w:t xml:space="preserve"> </w:t>
            </w:r>
            <w:r>
              <w:rPr>
                <w:rFonts w:hint="default" w:ascii="Arial" w:hAnsi="Arial" w:cs="Arial"/>
                <w:i w:val="0"/>
                <w:color w:val="000000"/>
                <w:sz w:val="20"/>
                <w:szCs w:val="20"/>
                <w:u w:val="none"/>
                <w:bdr w:val="none" w:color="auto" w:sz="0" w:space="0"/>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 xml:space="preserve">: </w:t>
            </w:r>
            <w:r>
              <w:rPr>
                <w:rFonts w:hint="default" w:ascii="Arial" w:hAnsi="Arial" w:cs="Arial"/>
                <w:i w:val="0"/>
                <w:color w:val="000000"/>
                <w:sz w:val="20"/>
                <w:szCs w:val="20"/>
                <w:u w:val="none"/>
                <w:bdr w:val="none" w:color="auto" w:sz="0" w:space="0"/>
                <w:vertAlign w:val="baseline"/>
                <w:lang w:val="en-US" w:eastAsia="zh-CN"/>
              </w:rPr>
              <w:t>David</w:t>
            </w:r>
            <w:r>
              <w:rPr>
                <w:rFonts w:hint="default" w:ascii="Arial" w:hAnsi="Arial" w:cs="Arial"/>
                <w:i w:val="0"/>
                <w:color w:val="000000"/>
                <w:sz w:val="20"/>
                <w:szCs w:val="20"/>
                <w:u w:val="none"/>
                <w:bdr w:val="none" w:color="auto" w:sz="0" w:space="0"/>
                <w:vertAlign w:val="baseline"/>
                <w:lang w:val="es" w:eastAsia="zh-CN"/>
              </w:rPr>
              <w:t xml:space="preserve"> </w:t>
            </w:r>
            <w:r>
              <w:rPr>
                <w:rFonts w:hint="default" w:ascii="Arial" w:hAnsi="Arial" w:cs="Arial"/>
                <w:i w:val="0"/>
                <w:color w:val="000000"/>
                <w:sz w:val="20"/>
                <w:szCs w:val="20"/>
                <w:u w:val="none"/>
                <w:bdr w:val="none" w:color="auto" w:sz="0" w:space="0"/>
                <w:vertAlign w:val="baseline"/>
                <w:lang w:val="en-US" w:eastAsia="zh-CN"/>
              </w:rPr>
              <w:t>D.Ebert</w:t>
            </w:r>
            <w:r>
              <w:rPr>
                <w:rFonts w:hint="default" w:ascii="Arial" w:hAnsi="Arial" w:cs="Arial"/>
                <w:i w:val="0"/>
                <w:color w:val="000000"/>
                <w:sz w:val="20"/>
                <w:szCs w:val="20"/>
                <w:u w:val="none"/>
                <w:bdr w:val="none" w:color="auto" w:sz="0" w:space="0"/>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Se evalua la incidencia de Trastorno Depresivo Mayor durante un año entre los estudiante de primer año que infresan 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Los datos obtenidos fueron de Leuven College Surveys, que hacen parte de del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La incidencia del Trastorno Depresivo Mayor en el primer año de universidad fue de 6,9% (SE(Standard Error) = 0,8), en los estudiantes predictores estudio a nivel individual al inicio del estudio mostrarton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Evaluar a los estdiantes al momento de entrar a su primer año de la universidad permite que se obtengan los estudiantes con alto riesgo de padecer un Trastorno Depresivo Mayor, lo que permite el desarrollo de actividades para prevenir la aparición de esta enfermedad.</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ambito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facilmente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Los estudiantes de universidad al inicio de la carrera, </w:t>
            </w:r>
            <w:r>
              <w:rPr>
                <w:rFonts w:hint="default" w:ascii="Arial" w:hAnsi="Arial" w:cs="Arial"/>
                <w:i w:val="0"/>
                <w:color w:val="000000"/>
                <w:sz w:val="20"/>
                <w:szCs w:val="20"/>
                <w:u w:val="none"/>
                <w:vertAlign w:val="baseline"/>
                <w:lang w:val="es"/>
              </w:rPr>
              <w:t xml:space="preserve">en su mayor parte, </w:t>
            </w:r>
            <w:r>
              <w:rPr>
                <w:rFonts w:hint="default" w:ascii="Arial" w:hAnsi="Arial" w:cs="Arial"/>
                <w:i w:val="0"/>
                <w:color w:val="000000"/>
                <w:sz w:val="20"/>
                <w:szCs w:val="20"/>
                <w:u w:val="none"/>
                <w:bdr w:val="none" w:color="auto" w:sz="0" w:space="0"/>
                <w:vertAlign w:val="baseline"/>
                <w:lang w:val="es"/>
              </w:rPr>
              <w:t>son jovenes, estos usualemente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3</w:t>
            </w:r>
            <w:r>
              <w:rPr>
                <w:rFonts w:ascii="Arial" w:hAnsi="Arial" w:cs="Arial"/>
                <w:i w:val="0"/>
                <w:color w:val="000000"/>
                <w:sz w:val="20"/>
                <w:szCs w:val="20"/>
                <w:u w:val="none"/>
                <w:bdr w:val="none" w:color="auto" w:sz="0" w:space="0"/>
                <w:vertAlign w:val="baseline"/>
              </w:rPr>
              <w:t>:</w:t>
            </w:r>
            <w:r>
              <w:rPr>
                <w:rFonts w:ascii="Arial" w:hAnsi="Arial" w:cs="Arial"/>
                <w:i w:val="0"/>
                <w:color w:val="000000"/>
                <w:sz w:val="20"/>
                <w:szCs w:val="20"/>
                <w:u w:val="none"/>
                <w:bdr w:val="none" w:color="auto" w:sz="0" w:space="0"/>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rPr>
              <w:t>[Propósito y objetivo]</w:t>
            </w:r>
            <w:r>
              <w:rPr>
                <w:rFonts w:hint="default" w:ascii="Arial" w:hAnsi="Arial" w:cs="Arial"/>
                <w:i w:val="0"/>
                <w:color w:val="000000"/>
                <w:sz w:val="20"/>
                <w:szCs w:val="20"/>
                <w:u w:val="none"/>
                <w:bdr w:val="none" w:color="auto" w:sz="0" w:space="0"/>
                <w:vertAlign w:val="baseline"/>
              </w:rPr>
              <w:br w:type="textWrapping"/>
            </w:r>
            <w:r>
              <w:rPr>
                <w:rFonts w:hint="default" w:ascii="Arial" w:hAnsi="Arial" w:cs="Arial"/>
                <w:i w:val="0"/>
                <w:color w:val="000000"/>
                <w:sz w:val="20"/>
                <w:szCs w:val="20"/>
                <w:u w:val="none"/>
                <w:bdr w:val="none" w:color="auto" w:sz="0" w:space="0"/>
                <w:vertAlign w:val="baseline"/>
                <w:lang w:val="es"/>
              </w:rPr>
              <w:t>Identificar los efectos que tienen el uso pasivo de las redes sociales y asociar estos efectos con sintomas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Se obtuvo la información de estudiantes de psicología mediante una plataforma virtual teniendo 132 participantes, 91 mujeres y 41 hombres, eliminando 7 participantes los cuales hacen parte de datos atipicos. El procedimiento fue enviar mensajes en sus celulares inteligentes en los cuales se les pedía responder un cuestionario de 12 items sobre sintomas depresivos, 7 veces al día durante 14 días. Se usó </w:t>
            </w:r>
            <w:r>
              <w:rPr>
                <w:rFonts w:hint="default" w:ascii="Arial" w:hAnsi="Arial" w:cs="Arial"/>
                <w:i w:val="0"/>
                <w:color w:val="000000"/>
                <w:sz w:val="20"/>
                <w:szCs w:val="20"/>
                <w:u w:val="none"/>
                <w:bdr w:val="none" w:color="auto" w:sz="0" w:space="0"/>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bdr w:val="none" w:color="auto" w:sz="0" w:space="0"/>
                <w:vertAlign w:val="baseline"/>
                <w:lang w:val="es"/>
              </w:rPr>
              <w:t>El mayor tiempo que se usan las redes sociales de modo pasivo fue asociado con perdida del interes, problemas de concentració, fatiga y soledad. La fatiga y la soledad fueron predecidas a través del tiempo del uso pasivo de las redes sociales, sin embargo no se predijeron sintomas depresivos o estres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Los resultados iniciales del uso pasivo de redes sociales muestran relación con problemas de concentración, fatiga, soledad y pérdida de interes sin embargo, de la invesigación no se tiene definido si el UPRD(Uso Pasivo de Redes Sociales) influye en sintomas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Es importante conocer que problemas puede llevar el uso de las redes sociales en distintas formas, ya sea como uso pasivo o personas que interactuan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Se muestra que efectos tiene el uso pasivo de las redes y porqué no causa sintomas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4</w:t>
            </w:r>
            <w:r>
              <w:rPr>
                <w:rFonts w:ascii="Arial" w:hAnsi="Arial" w:cs="Arial"/>
                <w:i w:val="0"/>
                <w:color w:val="000000"/>
                <w:sz w:val="20"/>
                <w:szCs w:val="20"/>
                <w:u w:val="none"/>
                <w:bdr w:val="none" w:color="auto" w:sz="0" w:space="0"/>
                <w:vertAlign w:val="baseline"/>
              </w:rPr>
              <w:t>:</w:t>
            </w:r>
            <w:r>
              <w:rPr>
                <w:rFonts w:hint="default" w:ascii="Arial" w:hAnsi="Arial" w:cs="Arial"/>
                <w:i w:val="0"/>
                <w:color w:val="000000"/>
                <w:sz w:val="20"/>
                <w:szCs w:val="20"/>
                <w:u w:val="none"/>
                <w:bdr w:val="none" w:color="auto" w:sz="0" w:space="0"/>
                <w:vertAlign w:val="baseline"/>
                <w:lang w:val="es"/>
              </w:rPr>
              <w:t xml:space="preserve"> </w:t>
            </w:r>
            <w:r>
              <w:rPr>
                <w:rFonts w:ascii="Arial" w:hAnsi="Arial" w:cs="Arial"/>
                <w:i w:val="0"/>
                <w:color w:val="000000"/>
                <w:sz w:val="20"/>
                <w:szCs w:val="20"/>
                <w:u w:val="none"/>
                <w:bdr w:val="none" w:color="auto" w:sz="0" w:space="0"/>
                <w:vertAlign w:val="baseline"/>
                <w:lang w:val="en-US" w:eastAsia="zh-CN"/>
              </w:rPr>
              <w:t>Association of Cannabis Use in Adolescence and Risk</w:t>
            </w:r>
            <w:r>
              <w:rPr>
                <w:rFonts w:hint="default" w:ascii="Arial" w:hAnsi="Arial" w:cs="Arial"/>
                <w:i w:val="0"/>
                <w:color w:val="000000"/>
                <w:sz w:val="20"/>
                <w:szCs w:val="20"/>
                <w:u w:val="none"/>
                <w:bdr w:val="none" w:color="auto" w:sz="0" w:space="0"/>
                <w:vertAlign w:val="baseline"/>
                <w:lang w:val="es" w:eastAsia="zh-CN"/>
              </w:rPr>
              <w:t xml:space="preserve"> </w:t>
            </w:r>
            <w:r>
              <w:rPr>
                <w:rFonts w:hint="default" w:ascii="Arial" w:hAnsi="Arial" w:cs="Arial"/>
                <w:i w:val="0"/>
                <w:color w:val="000000"/>
                <w:sz w:val="20"/>
                <w:szCs w:val="20"/>
                <w:u w:val="none"/>
                <w:bdr w:val="none" w:color="auto" w:sz="0" w:space="0"/>
                <w:vertAlign w:val="baseline"/>
                <w:lang w:val="en-US" w:eastAsia="zh-CN"/>
              </w:rPr>
              <w:t>of Depression, Anxiety, and Suicidality in Young Adulthood</w:t>
            </w:r>
            <w:r>
              <w:rPr>
                <w:rFonts w:hint="default" w:ascii="Arial" w:hAnsi="Arial" w:cs="Arial"/>
                <w:i w:val="0"/>
                <w:color w:val="000000"/>
                <w:sz w:val="20"/>
                <w:szCs w:val="20"/>
                <w:u w:val="none"/>
                <w:bdr w:val="none" w:color="auto" w:sz="0" w:space="0"/>
                <w:vertAlign w:val="baseline"/>
                <w:lang w:val="es" w:eastAsia="zh-CN"/>
              </w:rPr>
              <w:t xml:space="preserve"> </w:t>
            </w:r>
            <w:r>
              <w:rPr>
                <w:rFonts w:hint="default" w:ascii="Arial" w:hAnsi="Arial" w:cs="Arial"/>
                <w:i w:val="0"/>
                <w:color w:val="000000"/>
                <w:sz w:val="20"/>
                <w:szCs w:val="20"/>
                <w:u w:val="none"/>
                <w:bdr w:val="none" w:color="auto" w:sz="0" w:space="0"/>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w:t>
            </w:r>
            <w:r>
              <w:rPr>
                <w:rFonts w:hint="default" w:ascii="Arial" w:hAnsi="Arial" w:cs="Arial"/>
                <w:i w:val="0"/>
                <w:color w:val="000000"/>
                <w:sz w:val="20"/>
                <w:szCs w:val="20"/>
                <w:u w:val="none"/>
                <w:bdr w:val="none" w:color="auto" w:sz="0" w:space="0"/>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combinaos mediante un metanálisis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Los resultados mostraron que el OR de desarrollar depresión en </w:t>
            </w:r>
            <w:r>
              <w:rPr>
                <w:rFonts w:hint="default" w:ascii="Arial" w:hAnsi="Arial" w:cs="Arial"/>
                <w:i w:val="0"/>
                <w:color w:val="000000"/>
                <w:sz w:val="20"/>
                <w:szCs w:val="20"/>
                <w:u w:val="none"/>
                <w:vertAlign w:val="baseline"/>
                <w:lang w:val="es"/>
              </w:rPr>
              <w:t xml:space="preserve">adultos jovenes </w:t>
            </w:r>
            <w:r>
              <w:rPr>
                <w:rFonts w:hint="default" w:ascii="Arial" w:hAnsi="Arial" w:cs="Arial"/>
                <w:i w:val="0"/>
                <w:color w:val="000000"/>
                <w:sz w:val="20"/>
                <w:szCs w:val="20"/>
                <w:u w:val="none"/>
                <w:bdr w:val="none" w:color="auto" w:sz="0" w:space="0"/>
                <w:vertAlign w:val="baseline"/>
                <w:lang w:val="es"/>
              </w:rPr>
              <w:t xml:space="preserve">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lang w:val="es"/>
              </w:rPr>
              <w:t>El porcentaje de jovenes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Los jovenes s</w:t>
            </w:r>
            <w:bookmarkStart w:id="0" w:name="_GoBack"/>
            <w:bookmarkEnd w:id="0"/>
            <w:r>
              <w:rPr>
                <w:rFonts w:hint="default" w:ascii="Arial" w:hAnsi="Arial" w:cs="Arial"/>
                <w:i w:val="0"/>
                <w:color w:val="000000"/>
                <w:sz w:val="20"/>
                <w:szCs w:val="20"/>
                <w:u w:val="none"/>
                <w:bdr w:val="none" w:color="auto" w:sz="0" w:space="0"/>
                <w:vertAlign w:val="baseline"/>
                <w:lang w:val="es"/>
              </w:rPr>
              <w:t>on las personas que más usan las redes sociales hoy en día, determinar si estan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Wingdings">
    <w:altName w:val="Standard Symbols PS [URW ]"/>
    <w:panose1 w:val="05000000000000000000"/>
    <w:charset w:val="02"/>
    <w:family w:val="auto"/>
    <w:pitch w:val="default"/>
    <w:sig w:usb0="00000000" w:usb1="00000000" w:usb2="00000000" w:usb3="00000000" w:csb0="80000000" w:csb1="00000000"/>
  </w:font>
  <w:font w:name="Symbol">
    <w:altName w:val="Standard Symbols PS [URW ]"/>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 w:name="sans-serif">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AlBattar">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17765ACF"/>
    <w:rsid w:val="4BBF5F45"/>
    <w:rsid w:val="5BFA0D37"/>
    <w:rsid w:val="664232DE"/>
    <w:rsid w:val="787D004C"/>
    <w:rsid w:val="7B3F1041"/>
    <w:rsid w:val="7ECD3D9B"/>
    <w:rsid w:val="967FEB2F"/>
    <w:rsid w:val="9BAF5874"/>
    <w:rsid w:val="ACFFA40D"/>
    <w:rsid w:val="B9DE7A1F"/>
    <w:rsid w:val="BFEB8981"/>
    <w:rsid w:val="DC31862B"/>
    <w:rsid w:val="DDFFB123"/>
    <w:rsid w:val="DEFA4A85"/>
    <w:rsid w:val="DF3FCBB6"/>
    <w:rsid w:val="E33C4062"/>
    <w:rsid w:val="E3FF56B4"/>
    <w:rsid w:val="F8F6C0CA"/>
    <w:rsid w:val="FBBBCB0D"/>
    <w:rsid w:val="FCDFB4C6"/>
    <w:rsid w:val="FDD7F5DE"/>
    <w:rsid w:val="FF33A907"/>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11</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2020-08-24T09:45:00Z</dcterms:created>
  <dc:creator>Usuario de Windows</dc:creator>
  <cp:lastModifiedBy>crisisanchezp</cp:lastModifiedBy>
  <dcterms:modified xsi:type="dcterms:W3CDTF">2020-09-06T18:36:40Z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