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m="http://schemas.openxmlformats.org/officeDocument/2006/math" xmlns:w="http://schemas.openxmlformats.org/wordprocessingml/2006/main">
  <w:body>
    <w:bookmarkStart w:id="23" w:name="markdown-to-docx-round-trip-style-guide"/>
    <w:p>
      <w:pPr>
        <w:pStyle w:val="Heading1"/>
      </w:pPr>
      <w:r>
        <w:t xml:space="preserve">Markdown-to-DOCX Round-trip Style Guide</w:t>
      </w:r>
    </w:p>
    <w:p>
      <w:pPr>
        <w:pStyle w:val="FirstParagraph"/>
      </w:pPr>
      <w:r>
        <w:t xml:space="preserve">This file contains only math syntax that survives pandoc md-to-docx-to-md round-tripping as a fixed point, followed by warnings about unstable syntax.</w:t>
      </w:r>
    </w:p>
    <w:bookmarkStart w:id="9" w:name="stable-inline-math"/>
    <w:p>
      <w:pPr>
        <w:pStyle w:val="Heading2"/>
      </w:pPr>
      <w:r>
        <w:t xml:space="preserve">Stable Inline Math</w:t>
      </w:r>
    </w:p>
    <w:p>
      <w:pPr>
        <w:pStyle w:val="FirstParagraph"/>
      </w:pPr>
      <w:r>
        <w:t xml:space="preserve">The quadratic formula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.</w:t>
      </w:r>
    </w:p>
    <w:p>
      <w:pPr>
        <w:pStyle w:val="BodyText"/>
      </w:pPr>
      <w:r>
        <w:t xml:space="preserve">Einstein’s famous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summation: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Greek letters inline: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r>
          <m:t>ϵ</m:t>
        </m:r>
      </m:oMath>
      <w:r>
        <w:t xml:space="preserve">.</w:t>
      </w:r>
    </w:p>
    <w:bookmarkEnd w:id="9"/>
    <w:bookmarkStart w:id="10" w:name="stable-display-math"/>
    <w:p>
      <w:pPr>
        <w:pStyle w:val="Heading2"/>
      </w:pPr>
      <w:r>
        <w:t xml:space="preserve">Stable Display Math</w:t>
      </w:r>
    </w:p>
    <w:p>
      <w:pPr>
        <w:pStyle w:val="FirstParagraph"/>
      </w:pPr>
      <w:r>
        <w:t xml:space="preserve">The Gaussian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w:r>
        <w:t xml:space="preserve">A matrix: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r>
                      <m:t>c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 aligned environment: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sSub>
                    <m:e>
                      <m:r>
                        <m:t>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E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eqArr>
        </m:oMath>
      </m:oMathPara>
    </w:p>
    <w:bookmarkEnd w:id="10"/>
    <w:bookmarkStart w:id="11" w:name="stable-mixed-content"/>
    <w:p>
      <w:pPr>
        <w:pStyle w:val="Heading2"/>
      </w:pPr>
      <w:r>
        <w:t xml:space="preserve">Stable Mixed Content</w:t>
      </w:r>
    </w:p>
    <w:p>
      <w:pPr>
        <w:pStyle w:val="FirstParagraph"/>
      </w:pPr>
      <w:r>
        <w:t xml:space="preserve">Here is a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 and math: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r>
          <m:t>ϕ</m:t>
        </m:r>
        <m:sSup>
          <m:e>
            <m:r>
              <m:rPr>
                <m:sty m:val="p"/>
              </m:rPr>
              <m:t>∂</m:t>
            </m:r>
          </m:e>
          <m:sup>
            <m:r>
              <m:t>μ</m:t>
            </m:r>
          </m:sup>
        </m:sSup>
        <m:r>
          <m:t>ϕ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 numbered list with math:</w:t>
      </w:r>
    </w:p>
    <w:p>
      <w:pPr>
        <w:numPr>
          <w:ilvl w:val="0"/>
          <w:numId w:val="1001"/>
        </w:numPr>
      </w:pPr>
      <w:r>
        <w:t xml:space="preserve">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e</m:t>
        </m:r>
      </m:oMath>
      <w:r>
        <w:t xml:space="preserve">.</w:t>
      </w:r>
    </w:p>
    <w:bookmarkEnd w:id="11"/>
    <w:bookmarkStart w:id="12" w:name="stable-blockquote"/>
    <w:p>
      <w:pPr>
        <w:pStyle w:val="Heading2"/>
      </w:pPr>
      <w:r>
        <w:t xml:space="preserve">Stable Blockquote</w:t>
      </w:r>
    </w:p>
    <w:p>
      <w:pPr>
        <w:pStyle w:val="BlockText"/>
        <w:spacing w:before="0" w:after="0" w:line="100" w:lineRule="exact"/>
        <w:rPr>
          <w:sz w:val="10"/>
        </w:rPr>
      </w:pPr>
    </w:p>
    <w:p>
      <w:pPr>
        <w:pStyle w:val="BlockText"/>
      </w:pPr>
      <w:r>
        <w:t xml:space="preserve">This is a blockquote. It renders with a light blue background, a blue left border, and indentation on both sides. Round-trips cleanly through DOCX.</w:t>
      </w:r>
    </w:p>
    <w:p>
      <w:pPr>
        <w:pStyle w:val="BlockText"/>
        <w:spacing w:before="0" w:after="0" w:line="80" w:lineRule="exact"/>
        <w:rPr>
          <w:sz w:val="8"/>
        </w:rPr>
      </w:pPr>
    </w:p>
    <w:p>
      <w:pPr>
        <w:pStyle w:val="FirstParagraph"/>
        <w:spacing w:before="200"/>
      </w:pPr>
      <w:r>
        <w:t xml:space="preserve">Nested blockquotes are not supported — pandoc flattens them to a single level in DOCX, losing the nesting. Avoid nested</w:t>
      </w:r>
      <w:r>
        <w:t xml:space="preserve"> </w:t>
      </w:r>
      <w:r>
        <w:rPr>
          <w:rStyle w:val="VerbatimChar"/>
        </w:rPr>
        <w:t xml:space="preserve">&gt; &gt;</w:t>
      </w:r>
      <w:r>
        <w:t xml:space="preserve"> </w:t>
      </w:r>
      <w:r>
        <w:t xml:space="preserve">syntax. TODO: find a way to support nested blockquotes. If you need to display nested block quotes as a code block, you can still do that:</w:t>
      </w:r>
    </w:p>
    <w:p>
      <w:pPr>
        <w:pStyle w:val="SourceCode"/>
        <w:spacing w:before="0" w:after="0" w:line="100" w:lineRule="exact"/>
        <w:rPr>
          <w:sz w:val="10"/>
        </w:rPr>
      </w:pPr>
    </w:p>
    <w:p>
      <w:pPr>
        <w:pStyle w:val="SourceCode"/>
      </w:pPr>
      <w:r>
        <w:rPr>
          <w:rStyle w:val="VerbatimChar"/>
        </w:rPr>
        <w:t xml:space="preserve">&gt; Outer blockquote.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&gt; Inner nested blockquote.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Back to outer.</w:t>
      </w:r>
    </w:p>
    <w:p>
      <w:pPr>
        <w:pStyle w:val="SourceCode"/>
        <w:spacing w:before="0" w:after="0" w:line="80" w:lineRule="exact"/>
        <w:rPr>
          <w:sz w:val="8"/>
        </w:rPr>
      </w:pPr>
    </w:p>
    <w:bookmarkEnd w:id="12"/>
    <w:bookmarkStart w:id="13" w:name="stable-advanced-math"/>
    <w:p>
      <w:pPr>
        <w:pStyle w:val="Heading2"/>
      </w:pPr>
      <w:r>
        <w:t xml:space="preserve">Stable Advanced Math</w:t>
      </w:r>
    </w:p>
    <w:p>
      <w:pPr>
        <w:pStyle w:val="FirstParagraph"/>
      </w:pPr>
      <w:r>
        <w:t xml:space="preserve">Calligraphic and blackboard bold: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.</w:t>
      </w:r>
    </w:p>
    <w:p>
      <w:pPr>
        <w:pStyle w:val="BodyText"/>
      </w:pPr>
      <w:r>
        <w:t xml:space="preserve">A fraction tower: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den>
            </m:f>
          </m:den>
        </m:f>
      </m:oMath>
      <w:r>
        <w:t xml:space="preserve">.</w:t>
      </w:r>
    </w:p>
    <w:bookmarkEnd w:id="13"/>
    <w:bookmarkStart w:id="14" w:name="stable-delimiters"/>
    <w:p>
      <w:pPr>
        <w:pStyle w:val="Heading2"/>
      </w:pPr>
      <w:r>
        <w:t xml:space="preserve">Stable Delimiters</w:t>
      </w:r>
    </w:p>
    <w:p>
      <w:pPr>
        <w:pStyle w:val="FirstParagraph"/>
      </w:pPr>
      <w:r>
        <w:t xml:space="preserve">Parentheses: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Braces: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Pipes: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Floor:</w:t>
      </w:r>
      <w:r>
        <w:t xml:space="preserve"> </w:t>
      </w:r>
      <m:oMath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Ceiling:</w:t>
      </w:r>
      <w:r>
        <w:t xml:space="preserve"> </w:t>
      </w:r>
      <m:oMath>
        <m:d>
          <m:dPr>
            <m:begChr m:val="⌈"/>
            <m:sepChr m:val=""/>
            <m:endChr m:val="⌉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Brackets: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bookmarkEnd w:id="14"/>
    <w:bookmarkStart w:id="15" w:name="stable-accents-and-decorations"/>
    <w:p>
      <w:pPr>
        <w:pStyle w:val="Heading2"/>
      </w:pPr>
      <w:r>
        <w:t xml:space="preserve">Stable Accents and Decorations</w:t>
      </w:r>
    </w:p>
    <w:p>
      <w:pPr>
        <w:pStyle w:val="FirstParagraph"/>
      </w:pPr>
      <w:r>
        <w:t xml:space="preserve">Use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widehat anyway).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overrightarrow anyway).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widetilde anyway).</w:t>
      </w:r>
    </w:p>
    <w:p>
      <w:pPr>
        <w:pStyle w:val="BodyText"/>
      </w:pPr>
      <w:r>
        <w:t xml:space="preserve">These are stable: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</m:oMath>
      <w:r>
        <w:t xml:space="preserve">.</w:t>
      </w:r>
    </w:p>
    <w:bookmarkEnd w:id="15"/>
    <w:bookmarkStart w:id="16" w:name="stable-spacing"/>
    <w:p>
      <w:pPr>
        <w:pStyle w:val="Heading2"/>
      </w:pPr>
      <w:r>
        <w:t xml:space="preserve">Stable Spacing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a</m:t>
        </m:r>
        <m:r>
          <m:t> </m:t>
        </m:r>
        <m:r>
          <m:t>b</m:t>
        </m:r>
      </m:oMath>
      <w:r>
        <w:t xml:space="preserve"> </w:t>
      </w:r>
      <w:r>
        <w:t xml:space="preserve">for thin space, not</w:t>
      </w:r>
      <w:r>
        <w:t xml:space="preserve"> </w:t>
      </w:r>
      <m:oMath>
        <m:r>
          <m:t>a</m:t>
        </m:r>
        <m:r>
          <m:t> </m:t>
        </m:r>
        <m:r>
          <m:t>b</m:t>
        </m:r>
      </m:oMath>
      <w:r>
        <w:t xml:space="preserve"> </w:t>
      </w:r>
      <w:r>
        <w:t xml:space="preserve">(converts to backslash-space).</w:t>
      </w:r>
    </w:p>
    <w:p>
      <w:pPr>
        <w:pStyle w:val="BodyText"/>
      </w:pPr>
      <w:r>
        <w:t xml:space="preserve">Use</w:t>
      </w:r>
      <w:r>
        <w:t xml:space="preserve"> </w:t>
      </w:r>
      <m:oMath>
        <m:r>
          <m:t>a</m:t>
        </m:r>
        <m:r>
          <m:t> </m:t>
        </m:r>
        <m:r>
          <m:t>b</m:t>
        </m:r>
      </m:oMath>
      <w:r>
        <w:t xml:space="preserve"> </w:t>
      </w:r>
      <w:r>
        <w:t xml:space="preserve">for quad space.</w:t>
      </w:r>
    </w:p>
    <w:bookmarkEnd w:id="16"/>
    <w:bookmarkStart w:id="17" w:name="stable-dots"/>
    <w:p>
      <w:pPr>
        <w:pStyle w:val="Heading2"/>
      </w:pPr>
      <w:r>
        <w:t xml:space="preserve">Stable Dots</w:t>
      </w:r>
    </w:p>
    <w:p>
      <w:pPr>
        <w:pStyle w:val="FirstParagraph"/>
      </w:pPr>
      <m:oMath>
        <m:r>
          <m:t>a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⋮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⋱</m:t>
        </m:r>
      </m:oMath>
      <w:r>
        <w:t xml:space="preserve">.</w:t>
      </w:r>
    </w:p>
    <w:bookmarkEnd w:id="17"/>
    <w:bookmarkStart w:id="18" w:name="stable-text-in-math"/>
    <w:p>
      <w:pPr>
        <w:pStyle w:val="Heading2"/>
      </w:pPr>
      <w:r>
        <w:t xml:space="preserve">Stable Text in Math</w:t>
      </w:r>
    </w:p>
    <w:p>
      <w:pPr>
        <w:pStyle w:val="FirstParagraph"/>
      </w:pPr>
      <m:oMath>
        <m:r>
          <m:t>x</m:t>
        </m:r>
        <m:r>
          <m:rPr>
            <m:nor/>
            <m:sty m:val="p"/>
          </m:rPr>
          <m:t> for all 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nor/>
            <m:sty m:val="p"/>
          </m:rPr>
          <m:t>if 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nor/>
            <m:sty m:val="p"/>
          </m:rPr>
          <m:t> if</m:t>
        </m:r>
        <m:r>
          <m:t>y</m:t>
        </m:r>
      </m:oMath>
      <w:r>
        <w:t xml:space="preserve">.</w:t>
      </w:r>
    </w:p>
    <w:bookmarkEnd w:id="18"/>
    <w:bookmarkStart w:id="19" w:name="stable-operators"/>
    <w:p>
      <w:pPr>
        <w:pStyle w:val="Heading2"/>
      </w:pPr>
      <w:r>
        <w:t xml:space="preserve">Stable Operators</w:t>
      </w:r>
    </w:p>
    <w:p>
      <w:pPr>
        <w:pStyle w:val="FirstParagraph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</w:p>
    <w:bookmarkEnd w:id="19"/>
    <w:bookmarkStart w:id="20" w:name="stable-table"/>
    <w:p>
      <w:pPr>
        <w:pStyle w:val="Heading2"/>
      </w:pPr>
      <w:r>
        <w:t xml:space="preserve">Stable Table</w:t>
      </w:r>
    </w:p>
    <w:tbl>
      <w:tblPr>
        <w:tblStyle w:val="Table"/>
        <w:tblW w:type="pct" w:w="4898"/>
        <w:tblLayout w:type="fixed"/>
        <w:tblLook w:firstRow="1" w:lastRow="0" w:firstColumn="0" w:lastColumn="0" w:noHBand="0" w:noVBand="0" w:val="0020"/>
      </w:tblPr>
      <w:tblGrid>
        <w:gridCol w:w="727"/>
        <w:gridCol w:w="1373"/>
        <w:gridCol w:w="5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d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Euler’s number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Golden ratio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ϕ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</w:tr>
    </w:tbl>
    <w:bookmarkEnd w:id="20"/>
    <w:bookmarkStart w:id="21" w:name="table-column-alignment"/>
    <w:p>
      <w:pPr>
        <w:pStyle w:val="Heading2"/>
      </w:pPr>
      <w:r>
        <w:t xml:space="preserve">Table Column Alignment</w:t>
      </w:r>
    </w:p>
    <w:p>
      <w:pPr>
        <w:pStyle w:val="FirstParagraph"/>
      </w:pPr>
      <w:r>
        <w:t xml:space="preserve">Use colons in the pipe-table separator to control alignment. This is respected by both DOCX (pandoc) and PDF renderers.</w:t>
      </w:r>
    </w:p>
    <w:p>
      <w:pPr>
        <w:pStyle w:val="SourceCode"/>
        <w:spacing w:before="0" w:after="0" w:line="100" w:lineRule="exact"/>
        <w:rPr>
          <w:sz w:val="10"/>
        </w:rPr>
      </w:pPr>
    </w:p>
    <w:p>
      <w:pPr>
        <w:pStyle w:val="SourceCode"/>
      </w:pPr>
      <w:r>
        <w:rPr>
          <w:rStyle w:val="VerbatimChar"/>
        </w:rPr>
        <w:t xml:space="preserve">|:---| = left    |---:| = right    |:---:| = center    |----| = default (left)</w:t>
      </w:r>
    </w:p>
    <w:p>
      <w:pPr>
        <w:pStyle w:val="SourceCode"/>
        <w:spacing w:before="0" w:after="0" w:line="80" w:lineRule="exact"/>
        <w:rPr>
          <w:sz w:val="8"/>
        </w:rPr>
      </w:pPr>
    </w:p>
    <w:p>
      <w:pPr>
        <w:pStyle w:val="FirstParagraph"/>
        <w:spacing w:before="200"/>
      </w:pPr>
      <w:r>
        <w:t xml:space="preserve">Center short/numeric columns; left-align text-heavy 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3"/>
        <w:gridCol w:w="2782"/>
        <w:gridCol w:w="1770"/>
        <w:gridCol w:w="278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Bile acid sequestrants decrease the hepatic bile acid pool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Dietary saturated fat increases hepatic cholesterol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</w:tbl>
    <w:bookmarkEnd w:id="21"/>
    <w:bookmarkStart w:id="22" w:name="syntax-warnings-unstable-on-round-trip"/>
    <w:p>
      <w:pPr>
        <w:pStyle w:val="Heading2"/>
      </w:pPr>
      <w:r>
        <w:t xml:space="preserve">Syntax Warnings (Unstable on Round-trip)</w:t>
      </w:r>
    </w:p>
    <w:p>
      <w:pPr>
        <w:pStyle w:val="FirstParagraph"/>
      </w:pPr>
      <w:r>
        <w:t xml:space="preserve">Use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, not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(converts to lbrack/rbrack anyway).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widehat on first trip, then stable).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overrightarrow on first trip, then stable).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widetilde on first trip, then stable).</w:t>
      </w:r>
    </w:p>
    <w:p>
      <w:pPr>
        <w:pStyle w:val="BodyText"/>
      </w:pPr>
      <w:r>
        <w:t xml:space="preserve">Use</w:t>
      </w:r>
      <w:r>
        <w:t xml:space="preserve"> </w:t>
      </w:r>
      <m:oMath>
        <m:r>
          <m:t>a</m:t>
        </m:r>
        <m:r>
          <m:t> </m:t>
        </m:r>
        <m:r>
          <m:t>b</m:t>
        </m:r>
      </m:oMath>
      <w:r>
        <w:t xml:space="preserve">, not</w:t>
      </w:r>
      <w:r>
        <w:t xml:space="preserve"> </w:t>
      </w:r>
      <m:oMath>
        <m:r>
          <m:t>a</m:t>
        </m:r>
        <m:r>
          <m:t> </m:t>
        </m:r>
        <m:r>
          <m:t>b</m:t>
        </m:r>
      </m:oMath>
      <w:r>
        <w:t xml:space="preserve"> </w:t>
      </w:r>
      <w:r>
        <w:t xml:space="preserve">(colon-space converts to backslash-space on first trip, then stable).</w:t>
      </w:r>
    </w:p>
    <w:p>
      <w:pPr>
        <w:pStyle w:val="BodyText"/>
      </w:pPr>
      <w:r>
        <w:t xml:space="preserve">Use</w:t>
      </w:r>
      <w:r>
        <w:t xml:space="preserve"> </w:t>
      </w:r>
      <m:oMath>
        <m:sSub>
          <m:e>
            <m:r>
              <m:t>a</m:t>
            </m:r>
            <m:r>
              <m:t>r</m:t>
            </m:r>
            <m:r>
              <m:t>g</m:t>
            </m:r>
            <m:r>
              <m:t>m</m:t>
            </m:r>
            <m:r>
              <m:t>a</m:t>
            </m:r>
            <m:r>
              <m:t>x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sSub>
          <m:e>
            <m:r>
              <m:rPr>
                <m:sty m:val="p"/>
              </m:rPr>
              <m:t>argmax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(loses operatorname wrapper on first trip, then stable).</w:t>
      </w:r>
    </w:p>
    <w:p>
      <w:pPr>
        <w:pStyle w:val="BodyText"/>
      </w:pPr>
      <w:r>
        <w:t xml:space="preserve">AVOID invisible delimiters (left-dot and right-dot) entirely. They accumulate a trailing backslash-space on every round-trip and never stabilize. This includes begin-cases, which converts to left-brace begin-matrix … end-matrix right-dot.</w:t>
      </w:r>
    </w:p>
    <w:p>
      <w:pPr>
        <w:pStyle w:val="BodyText"/>
      </w:pPr>
      <w:r>
        <w:t xml:space="preserve">AVOID left-double-pipe/right-double-pipe. They break into left-dot parallel/right-dot parallel and then drift.</w:t>
      </w:r>
    </w:p>
    <w:p>
      <w:pPr>
        <w:pStyle w:val="BodyText"/>
      </w:pPr>
      <w:r>
        <w:t xml:space="preserve">AVOID semicolon-space (converts to mspace) and negative-space (removed entirely).</w:t>
      </w:r>
    </w:p>
    <w:bookmarkEnd w:id="22"/>
    <w:bookmarkEnd w:id="23"/>
    <w:sectPr>
      <w:footnotePr>
        <w:numRestart w:val="eachSect"/>
      </w:footnotePr>
      <w:pgSz w:h="15840" w:w="12240"/>
      <w:pgMar w:bottom="1440" w:footer="72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rial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 w:val="1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  <w:pPr>
      <w:spacing w:after="200" w:before="0"/>
    </w:pPr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BodyText" w:type="paragraph">
    <w:name w:val="Body Text"/>
    <w:basedOn w:val="Normal"/>
    <w:pPr>
      <w:spacing w:after="200" w:before="0"/>
    </w:pPr>
  </w:style>
  <w:style w:styleId="FirstParagraph" w:type="paragraph">
    <w:name w:val="First Paragraph"/>
    <w:basedOn w:val="BodyText"/>
    <w:pPr>
      <w:spacing w:after="200" w:before="0"/>
    </w:pPr>
  </w:style>
  <w:style w:styleId="Table" w:type="table">
    <w:name w:val="Table"/>
    <w:basedOn w:val="TableNormal"/>
    <w:tblPr/>
    <w:tblStylePr w:type="firstRow">
      <w:rPr>
        <w:b/>
      </w:rPr>
      <w:tcPr>
        <w:tcBorders>
          <w:bottom w:color="000000" w:space="0" w:sz="12" w:val="single"/>
        </w:tcBorders>
      </w:tcPr>
    </w:tblStylePr>
  </w:style>
  <w:style w:styleId="BlockText" w:type="paragraph">
    <w:name w:val="Block Text"/>
    <w:basedOn w:val="Normal"/>
    <w:pPr>
      <w:ind w:firstLine="0" w:left="480" w:right="480"/>
      <w:spacing w:after="100" w:before="100"/>
      <w:shd w:color="auto" w:fill="DBEAFE" w:val="clear"/>
      <w:pBdr>
        <w:left w:color="93C5FD" w:space="8" w:sz="18" w:val="single"/>
      </w:pBdr>
    </w:pPr>
  </w:style>
  <w:style w:styleId="SourceCode" w:type="paragraph">
    <w:name w:val="Source Code"/>
    <w:basedOn w:val="Normal"/>
    <w:pPr>
      <w:ind w:firstLine="0" w:left="240" w:right="240"/>
      <w:spacing w:after="100" w:before="100"/>
      <w:shd w:color="auto" w:fill="F2F2F2" w:val="clear"/>
      <w:pBdr>
        <w:left w:color="F2F2F2" w:space="8" w:sz="18" w:val="single"/>
      </w:pBdr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2026-03-29T18:18:05Z</dcterms:created>
  <dcterms:modified xsi:type="dcterms:W3CDTF">2026-03-29T18:18:05Z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