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kdown-to-docx-round-trip-style-guide"/>
    <w:p>
      <w:pPr>
        <w:pStyle w:val="Heading1"/>
      </w:pPr>
      <w:r>
        <w:t xml:space="preserve">Markdown-to-DOCX Round-trip Style Guide</w:t>
      </w:r>
    </w:p>
    <w:p>
      <w:pPr>
        <w:pStyle w:val="FirstParagraph"/>
      </w:pPr>
      <w:r>
        <w:t xml:space="preserve">This file contains only math syntax that survives pandoc md-to-docx-to-md round-tripping as a fixed point, followed by warnings about unstable syntax.</w:t>
      </w:r>
    </w:p>
    <w:bookmarkStart w:id="9" w:name="stable-inline-math"/>
    <w:p>
      <w:pPr>
        <w:pStyle w:val="Heading2"/>
      </w:pPr>
      <w:r>
        <w:t xml:space="preserve">Stable Inline Math</w:t>
      </w:r>
    </w:p>
    <w:p>
      <w:pPr>
        <w:pStyle w:val="FirstParagraph"/>
      </w:pPr>
      <w:r>
        <w:t xml:space="preserve">The quadratic formula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t xml:space="preserve">.</w:t>
      </w:r>
    </w:p>
    <w:p>
      <w:pPr>
        <w:pStyle w:val="BodyText"/>
      </w:pPr>
      <w:r>
        <w:t xml:space="preserve">Einstein’s famous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summation: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Greek letters inline: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r>
          <m:t>ϵ</m:t>
        </m:r>
      </m:oMath>
      <w:r>
        <w:t xml:space="preserve">.</w:t>
      </w:r>
    </w:p>
    <w:bookmarkEnd w:id="9"/>
    <w:bookmarkStart w:id="10" w:name="stable-display-math"/>
    <w:p>
      <w:pPr>
        <w:pStyle w:val="Heading2"/>
      </w:pPr>
      <w:r>
        <w:t xml:space="preserve">Stable Display Math</w:t>
      </w:r>
    </w:p>
    <w:p>
      <w:pPr>
        <w:pStyle w:val="FirstParagraph"/>
      </w:pPr>
      <w:r>
        <w:t xml:space="preserve">The Gaussian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t xml:space="preserve">A matrix: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</m:mr>
                <m:mr>
                  <m:e>
                    <m:r>
                      <m:t>y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r>
                      <m:t>c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 aligned environment: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</m:num>
                <m:den>
                  <m:sSub>
                    <m:e>
                      <m:r>
                        <m:t>ϵ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E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eqArr>
        </m:oMath>
      </m:oMathPara>
    </w:p>
    <w:bookmarkEnd w:id="10"/>
    <w:bookmarkStart w:id="11" w:name="stable-mixed-content"/>
    <w:p>
      <w:pPr>
        <w:pStyle w:val="Heading2"/>
      </w:pPr>
      <w:r>
        <w:t xml:space="preserve">Stable Mixed Content</w:t>
      </w:r>
    </w:p>
    <w:p>
      <w:pPr>
        <w:pStyle w:val="FirstParagraph"/>
      </w:pPr>
      <w:r>
        <w:t xml:space="preserve">Here is a paragraph with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and math: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∂</m:t>
            </m:r>
          </m:e>
          <m:sub>
            <m:r>
              <m:t>μ</m:t>
            </m:r>
          </m:sub>
        </m:sSub>
        <m:r>
          <m:t>ϕ</m:t>
        </m:r>
        <m:sSup>
          <m:e>
            <m:r>
              <m:rPr>
                <m:sty m:val="p"/>
              </m:rPr>
              <m:t>∂</m:t>
            </m:r>
          </m:e>
          <m:sup>
            <m:r>
              <m:t>μ</m:t>
            </m:r>
          </m:sup>
        </m:sSup>
        <m:r>
          <m:t>ϕ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 numbered list with math:</w:t>
      </w:r>
    </w:p>
    <w:p>
      <w:pPr>
        <w:numPr>
          <w:ilvl w:val="0"/>
          <w:numId w:val="1001"/>
        </w:numPr>
      </w:pPr>
      <w:r>
        <w:t xml:space="preserve">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e</m:t>
        </m:r>
      </m:oMath>
      <w:r>
        <w:t xml:space="preserve">.</w:t>
      </w:r>
    </w:p>
    <w:bookmarkEnd w:id="11"/>
    <w:bookmarkStart w:id="12" w:name="stable-advanced-math"/>
    <w:p>
      <w:pPr>
        <w:pStyle w:val="Heading2"/>
      </w:pPr>
      <w:r>
        <w:t xml:space="preserve">Stable Advanced Math</w:t>
      </w:r>
    </w:p>
    <w:p>
      <w:pPr>
        <w:pStyle w:val="FirstParagraph"/>
      </w:pPr>
      <w:r>
        <w:t xml:space="preserve">Calligraphic and blackboard bold: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.</w:t>
      </w:r>
    </w:p>
    <w:p>
      <w:pPr>
        <w:pStyle w:val="BodyText"/>
      </w:pPr>
      <w:r>
        <w:t xml:space="preserve">A fraction tower: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den>
            </m:f>
          </m:den>
        </m:f>
      </m:oMath>
      <w:r>
        <w:t xml:space="preserve">.</w:t>
      </w:r>
    </w:p>
    <w:bookmarkEnd w:id="12"/>
    <w:bookmarkStart w:id="13" w:name="stable-delimiters"/>
    <w:p>
      <w:pPr>
        <w:pStyle w:val="Heading2"/>
      </w:pPr>
      <w:r>
        <w:t xml:space="preserve">Stable Delimiters</w:t>
      </w:r>
    </w:p>
    <w:p>
      <w:pPr>
        <w:pStyle w:val="FirstParagraph"/>
      </w:pPr>
      <w:r>
        <w:t xml:space="preserve">Parentheses: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Braces: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Pipes: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Floor:</w:t>
      </w:r>
      <w:r>
        <w:t xml:space="preserve"> </w:t>
      </w:r>
      <m:oMath>
        <m:d>
          <m:dPr>
            <m:begChr m:val="⌊"/>
            <m:sepChr m:val=""/>
            <m:endChr m:val="⌋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Ceiling:</w:t>
      </w:r>
      <w:r>
        <w:t xml:space="preserve"> </w:t>
      </w:r>
      <m:oMath>
        <m:d>
          <m:dPr>
            <m:begChr m:val="⌈"/>
            <m:sepChr m:val=""/>
            <m:endChr m:val="⌉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pPr>
        <w:pStyle w:val="BodyText"/>
      </w:pPr>
      <w:r>
        <w:t xml:space="preserve">Brackets: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bookmarkEnd w:id="13"/>
    <w:bookmarkStart w:id="14" w:name="stable-accents-and-decorations"/>
    <w:p>
      <w:pPr>
        <w:pStyle w:val="Heading2"/>
      </w:pPr>
      <w:r>
        <w:t xml:space="preserve">Stable Accents and Decorations</w:t>
      </w:r>
    </w:p>
    <w:p>
      <w:pPr>
        <w:pStyle w:val="FirstParagraph"/>
      </w:pPr>
      <w:r>
        <w:t xml:space="preserve">Use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widehat anyway).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overrightarrow anyway).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widetilde anyway).</w:t>
      </w:r>
    </w:p>
    <w:p>
      <w:pPr>
        <w:pStyle w:val="BodyText"/>
      </w:pPr>
      <w:r>
        <w:t xml:space="preserve">These are stable: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</m:oMath>
      <w:r>
        <w:t xml:space="preserve">.</w:t>
      </w:r>
    </w:p>
    <w:bookmarkEnd w:id="14"/>
    <w:bookmarkStart w:id="15" w:name="stable-spacing"/>
    <w:p>
      <w:pPr>
        <w:pStyle w:val="Heading2"/>
      </w:pPr>
      <w:r>
        <w:t xml:space="preserve">Stable Spacing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a</m:t>
        </m:r>
        <m:r>
          <m:t> </m:t>
        </m:r>
        <m:r>
          <m:t>b</m:t>
        </m:r>
      </m:oMath>
      <w:r>
        <w:t xml:space="preserve"> </w:t>
      </w:r>
      <w:r>
        <w:t xml:space="preserve">for thin space, not</w:t>
      </w:r>
      <w:r>
        <w:t xml:space="preserve"> </w:t>
      </w:r>
      <m:oMath>
        <m:r>
          <m:t>a</m:t>
        </m:r>
        <m:r>
          <m:t> </m:t>
        </m:r>
        <m:r>
          <m:t>b</m:t>
        </m:r>
      </m:oMath>
      <w:r>
        <w:t xml:space="preserve"> </w:t>
      </w:r>
      <w:r>
        <w:t xml:space="preserve">(converts to backslash-space).</w:t>
      </w:r>
    </w:p>
    <w:p>
      <w:pPr>
        <w:pStyle w:val="BodyText"/>
      </w:pPr>
      <w:r>
        <w:t xml:space="preserve">Use</w:t>
      </w:r>
      <w:r>
        <w:t xml:space="preserve"> </w:t>
      </w:r>
      <m:oMath>
        <m:r>
          <m:t>a</m:t>
        </m:r>
        <m:r>
          <m:t> </m:t>
        </m:r>
        <m:r>
          <m:t>b</m:t>
        </m:r>
      </m:oMath>
      <w:r>
        <w:t xml:space="preserve"> </w:t>
      </w:r>
      <w:r>
        <w:t xml:space="preserve">for quad space.</w:t>
      </w:r>
    </w:p>
    <w:bookmarkEnd w:id="15"/>
    <w:bookmarkStart w:id="16" w:name="stable-dots"/>
    <w:p>
      <w:pPr>
        <w:pStyle w:val="Heading2"/>
      </w:pPr>
      <w:r>
        <w:t xml:space="preserve">Stable Dots</w:t>
      </w:r>
    </w:p>
    <w:p>
      <w:pPr>
        <w:pStyle w:val="FirstParagraph"/>
      </w:pPr>
      <m:oMath>
        <m:r>
          <m:t>a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⋮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⋱</m:t>
        </m:r>
      </m:oMath>
      <w:r>
        <w:t xml:space="preserve">.</w:t>
      </w:r>
    </w:p>
    <w:bookmarkEnd w:id="16"/>
    <w:bookmarkStart w:id="17" w:name="stable-text-in-math"/>
    <w:p>
      <w:pPr>
        <w:pStyle w:val="Heading2"/>
      </w:pPr>
      <w:r>
        <w:t xml:space="preserve">Stable Text in Math</w:t>
      </w:r>
    </w:p>
    <w:p>
      <w:pPr>
        <w:pStyle w:val="FirstParagraph"/>
      </w:pPr>
      <m:oMath>
        <m:r>
          <m:t>x</m:t>
        </m:r>
        <m:r>
          <m:rPr>
            <m:nor/>
            <m:sty m:val="p"/>
          </m:rPr>
          <m:t> for all 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nor/>
            <m:sty m:val="p"/>
          </m:rPr>
          <m:t>if 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nor/>
            <m:sty m:val="p"/>
          </m:rPr>
          <m:t> if</m:t>
        </m:r>
        <m:r>
          <m:t>y</m:t>
        </m:r>
      </m:oMath>
      <w:r>
        <w:t xml:space="preserve">.</w:t>
      </w:r>
    </w:p>
    <w:bookmarkEnd w:id="17"/>
    <w:bookmarkStart w:id="18" w:name="stable-operators"/>
    <w:p>
      <w:pPr>
        <w:pStyle w:val="Heading2"/>
      </w:pPr>
      <w:r>
        <w:t xml:space="preserve">Stable Operators</w:t>
      </w:r>
    </w:p>
    <w:p>
      <w:pPr>
        <w:pStyle w:val="FirstParagraph"/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</w:p>
    <w:bookmarkEnd w:id="18"/>
    <w:bookmarkStart w:id="19" w:name="stable-table"/>
    <w:p>
      <w:pPr>
        <w:pStyle w:val="Heading2"/>
      </w:pPr>
      <w:r>
        <w:t xml:space="preserve">Stable Table</w:t>
      </w:r>
    </w:p>
    <w:tbl>
      <w:tblPr>
        <w:tblStyle w:val="Table"/>
        <w:tblW w:type="pct" w:w="4898"/>
        <w:tblLayout w:type="fixed"/>
        <w:tblLook w:firstRow="1" w:lastRow="0" w:firstColumn="0" w:lastColumn="0" w:noHBand="0" w:noVBand="0" w:val="0020"/>
      </w:tblPr>
      <w:tblGrid>
        <w:gridCol w:w="727"/>
        <w:gridCol w:w="1373"/>
        <w:gridCol w:w="5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Euler’s number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Golden ratio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</w:tbl>
    <w:bookmarkEnd w:id="19"/>
    <w:bookmarkStart w:id="20" w:name="syntax-warnings-unstable-on-round-trip"/>
    <w:p>
      <w:pPr>
        <w:pStyle w:val="Heading2"/>
      </w:pPr>
      <w:r>
        <w:t xml:space="preserve">Syntax Warnings (Unstable on Round-trip)</w:t>
      </w:r>
    </w:p>
    <w:p>
      <w:pPr>
        <w:pStyle w:val="FirstParagraph"/>
      </w:pPr>
      <w:r>
        <w:t xml:space="preserve">Use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, not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(converts to lbrack/rbrack anyway).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widehat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⃗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overrightarrow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(converts to widetilde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r>
          <m:t>a</m:t>
        </m:r>
        <m:r>
          <m:t> </m:t>
        </m:r>
        <m:r>
          <m:t>b</m:t>
        </m:r>
      </m:oMath>
      <w:r>
        <w:t xml:space="preserve">, not</w:t>
      </w:r>
      <w:r>
        <w:t xml:space="preserve"> </w:t>
      </w:r>
      <m:oMath>
        <m:r>
          <m:t>a</m:t>
        </m:r>
        <m:r>
          <m:t> </m:t>
        </m:r>
        <m:r>
          <m:t>b</m:t>
        </m:r>
      </m:oMath>
      <w:r>
        <w:t xml:space="preserve"> </w:t>
      </w:r>
      <w:r>
        <w:t xml:space="preserve">(colon-space converts to backslash-space on first trip, then stable).</w:t>
      </w:r>
    </w:p>
    <w:p>
      <w:pPr>
        <w:pStyle w:val="BodyText"/>
      </w:pPr>
      <w:r>
        <w:t xml:space="preserve">Use</w:t>
      </w:r>
      <w:r>
        <w:t xml:space="preserve"> </w:t>
      </w:r>
      <m:oMath>
        <m:sSub>
          <m:e>
            <m:r>
              <m:t>a</m:t>
            </m:r>
            <m:r>
              <m:t>r</m:t>
            </m:r>
            <m:r>
              <m:t>g</m:t>
            </m:r>
            <m:r>
              <m:t>m</m:t>
            </m:r>
            <m:r>
              <m:t>a</m:t>
            </m:r>
            <m:r>
              <m:t>x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sSub>
          <m:e>
            <m:r>
              <m:rPr>
                <m:sty m:val="p"/>
              </m:rPr>
              <m:t>argmax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(loses operatorname wrapper on first trip, then stable).</w:t>
      </w:r>
    </w:p>
    <w:p>
      <w:pPr>
        <w:pStyle w:val="BodyText"/>
      </w:pPr>
      <w:r>
        <w:t xml:space="preserve">AVOID invisible delimiters (left-dot and right-dot) entirely. They accumulate a trailing backslash-space on every round-trip and never stabilize. This includes begin-cases, which converts to left-brace begin-matrix … end-matrix right-dot.</w:t>
      </w:r>
    </w:p>
    <w:p>
      <w:pPr>
        <w:pStyle w:val="BodyText"/>
      </w:pPr>
      <w:r>
        <w:t xml:space="preserve">AVOID left-double-pipe/right-double-pipe. They break into left-dot parallel/right-dot parallel and then drift.</w:t>
      </w:r>
    </w:p>
    <w:p>
      <w:pPr>
        <w:pStyle w:val="BodyText"/>
      </w:pPr>
      <w:r>
        <w:t xml:space="preserve">AVOID semicolon-space (converts to mspace) and negative-space (removed entirely).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 w:val="1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2026-03-26T04:08:21Z</dcterms:created>
  <dcterms:modified xsi:type="dcterms:W3CDTF">2026-03-26T04:08:21Z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