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bookmarkStart ns0:id="17" ns0:name="Xbff8bfcafc56dd288617e9c859133b4aa030e56"/>
    <ns0:p>
      <ns0:pPr>
        <ns0:pStyle ns0:val="Heading1"/>
      </ns0:pPr>
      <ns0:r>
        <ns0:t xml:space="preserve">An exploration in recursive self-improvement in the medical domain</ns0:t>
      </ns0:r>
    </ns0:p>
    <ns0:p>
      <ns0:pPr>
        <ns0:pStyle ns0:val="FirstParagraph"/>
      </ns0:pPr>
      <ns0:r>
        <ns0:rPr>
          <ns0:i/>
          <ns0:iCs/>
        </ns0:rPr>
        <ns0:t xml:space="preserve">Andrew Critch, March 27, 2026</ns0:t>
      </ns0:r>
    </ns0:p>
    <ns0:p>
      <ns0:pPr>
        <ns0:pStyle ns0:val="BodyText"/>
      </ns0:pPr>
      <ns0:r>
        <ns0:rPr>
          <ns0:i/>
          <ns0:iCs/>
        </ns0:rPr>
        <ns0:t xml:space="preserve">Meta:</ns0:t>
      </ns0:r>
      <ns0:r>
        <ns0:t xml:space="preserve"> </ns0:t>
      </ns0:r>
      <ns0:r>
        <ns0:t xml:space="preserve">Probably there are more useful things I could do for the immediate bottlenecks of frontier AI development, but I’m sharing this as food-for-thought anyway.</ns0:t>
      </ns0:r>
    </ns0:p>
    <ns0:p>
      <ns0:pPr>
        <ns0:pStyle ns0:val="BodyText"/>
      </ns0:pPr>
      <ns0:r>
        <ns0:rPr>
          <ns0:i/>
          <ns0:iCs/>
        </ns0:rPr>
        <ns0:t xml:space="preserve">Informal Abstract:</ns0:t>
      </ns0:r>
      <ns0:r>
        <ns0:t xml:space="preserve"> </ns0:t>
      </ns0:r>
      <ns0:r>
        <ns0:t xml:space="preserve">Recursive self-improvement (RSI) of AI models might eventually be needed for improving AI reasoning in empirical domains like medicine, even if RSI is not currently necessary.</ns0:t>
      </ns0:r>
      <ns0:r>
        <ns0:t xml:space="preserve"> </ns0:t>
      </ns0:r>
      <ns0:r>
        <ns0:t xml:space="preserve">Here, I took some initial steps toward medical RSI using claude-opus-4.6.</ns0:t>
      </ns0:r>
      <ns0:r>
        <ns0:t xml:space="preserve"> </ns0:t>
      </ns0:r>
      <ns0:r>
        <ns0:t xml:space="preserve">I deployed a research agent — a heavily scaffolded version of claude-opus-4.6 — that autonomously searched through PubMed and other web sources for 15 hours, reading 717 articles and evaluating 87 causal beliefs about LDL cholesterol metabolism.</ns0:t>
      </ns0:r>
      <ns0:r>
        <ns0:t xml:space="preserve"> </ns0:t>
      </ns0:r>
      <ns0:r>
        <ns0:t xml:space="preserve">As a test of calibration, the agent’s evidence-informed posteriors were then compared to the model’s uninvestigated priors generated by simple API queries.</ns0:t>
      </ns0:r>
      <ns0:r>
        <ns0:t xml:space="preserve"> </ns0:t>
      </ns0:r>
      <ns0:r>
        <ns0:t xml:space="preserve">The model showed systematic overconfidence (mean signed error +6.2 percentage points), with the worst miscalibration in the 0.70–0.89 confidence range.</ns0:t>
      </ns0:r>
      <ns0:r>
        <ns0:t xml:space="preserve"> </ns0:t>
      </ns0:r>
      <ns0:r>
        <ns0:t xml:space="preserve">Six hypotheses (7%) were reversed from</ns0:t>
      </ns0:r>
      <ns0:r>
        <ns0:t xml:space="preserve"> </ns0:t>
      </ns0:r>
      <ns0:r>
        <ns0:t xml:space="preserve">“probably true”</ns0:t>
      </ns0:r>
      <ns0:r>
        <ns0:t xml:space="preserve"> </ns0:t>
      </ns0:r>
      <ns0:r>
        <ns0:t xml:space="preserve">to</ns0:t>
      </ns0:r>
      <ns0:r>
        <ns0:t xml:space="preserve"> </ns0:t>
      </ns0:r>
      <ns0:r>
        <ns0:t xml:space="preserve">“probably false”</ns0:t>
      </ns0:r>
      <ns0:r>
        <ns0:t xml:space="preserve">, exposing what may be systematic failures in the model’s causal reasoning warranting further investigation: over-compression of multi-step causal pathways, blindness to homeostatic compensation, and conflation of textual co-occurrence with causation.</ns0:t>
      </ns0:r>
      <ns0:r>
        <ns0:t xml:space="preserve"> </ns0:t>
      </ns0:r>
      <ns0:r>
        <ns0:t xml:space="preserve">The process also generated 234 open research questions, some subset of which may be of genuine importance to medical research, although further research is needed to ascertain which.</ns0:t>
      </ns0:r>
    </ns0:p>
    <ns0:p>
      <ns0:pPr>
        <ns0:pStyle ns0:val="BodyText"/>
      </ns0:pPr>
      <ns0:r>
        <ns0:rPr>
          <ns0:i/>
          <ns0:iCs/>
        </ns0:rPr>
        <ns0:t xml:space="preserve">Note:</ns0:t>
      </ns0:r>
      <ns0:r>
        <ns0:t xml:space="preserve"> </ns0:t>
      </ns0:r>
      <ns0:r>
        <ns0:t xml:space="preserve">Frontier AI labs might already use techniques similar to this in some form, so I’m not claiming novelty, just sharing what I have, for feedback and guidance on relevance.</ns0:t>
      </ns0:r>
    </ns0:p>
    <ns0:bookmarkStart ns0:id="9" ns0:name="introduction"/>
    <ns0:p>
      <ns0:pPr>
        <ns0:pStyle ns0:val="Heading2"/>
      </ns0:pPr>
      <ns0:r>
        <ns0:t xml:space="preserve">Introduction</ns0:t>
      </ns0:r>
    </ns0:p>
    <ns0:p>
      <ns0:pPr>
        <ns0:pStyle ns0:val="FirstParagraph"/>
      </ns0:pPr>
      <ns0:r>
        <ns0:t xml:space="preserve">AI coding agents can already sustain some manner of recursive self-improvement (RSI).</ns0:t>
      </ns0:r>
      <ns0:r>
        <ns0:t xml:space="preserve"> </ns0:t>
      </ns0:r>
      <ns0:r>
        <ns0:t xml:space="preserve">A major reason is that coding agents can cheaply obtain ground truth about the code they write, simply by running the code.</ns0:t>
      </ns0:r>
      <ns0:r>
        <ns0:t xml:space="preserve"> </ns0:t>
      </ns0:r>
      <ns0:r>
        <ns0:t xml:space="preserve">That ground truth can then be incorporated by the agent into its reasoning context window, or into training data for its underlying LLM, to improve the agent’s performance.</ns0:t>
      </ns0:r>
    </ns0:p>
    <ns0:p>
      <ns0:pPr>
        <ns0:pStyle ns0:val="BodyText"/>
      </ns0:pPr>
      <ns0:r>
        <ns0:t xml:space="preserve">In the medical domain, RSI might not yet be a bottleneck for improving medical reasoning, because humanity collectively possesses a massive backlog of biological and medical information that has not yet been fully utilized for improving AI models.</ns0:t>
      </ns0:r>
      <ns0:r>
        <ns0:t xml:space="preserve"> </ns0:t>
      </ns0:r>
      <ns0:r>
        <ns0:t xml:space="preserve">That said, at some point, automating the collection of further ground truth information in medicine could become an important next step for improving AI in medicine.</ns0:t>
      </ns0:r>
      <ns0:r>
        <ns0:t xml:space="preserve"> </ns0:t>
      </ns0:r>
      <ns0:r>
        <ns0:t xml:space="preserve">A scaled-down version of that idea is employed here, on the topic of LDL cholesterol metabolism.</ns0:t>
      </ns0:r>
    </ns0:p>
    <ns0:p>
      <ns0:pPr>
        <ns0:pStyle ns0:val="BodyText"/>
      </ns0:pPr>
      <ns0:r>
        <ns0:t xml:space="preserve">I chose LDL cholesterol metabolism as the research topic because</ns0:t>
      </ns0:r>
    </ns0:p>
    <ns0:p>
      <ns0:pPr>
        <ns0:numPr>
          <ns0:ilvl ns0:val="0"/>
          <ns0:numId ns0:val="1001"/>
        </ns0:numPr>
      </ns0:pPr>
      <ns0:r>
        <ns0:t xml:space="preserve">It’s a famously confused area of medical research yielding different public health recommendations every couple of decades, and</ns0:t>
      </ns0:r>
    </ns0:p>
    <ns0:p>
      <ns0:pPr>
        <ns0:numPr>
          <ns0:ilvl ns0:val="0"/>
          <ns0:numId ns0:val="1001"/>
        </ns0:numPr>
      </ns0:pPr>
      <ns0:r>
        <ns0:t xml:space="preserve">I selfishly wanted to learn more accurate information about it for my own and my family’s health, which requires flagging misinformation in medical literature and AI-generated research reports.</ns0:t>
      </ns0:r>
    </ns0:p>
    <ns0:bookmarkEnd ns0:id="9"/>
    <ns0:bookmarkStart ns0:id="10" ns0:name="automated-research-setup-and-process"/>
    <ns0:p>
      <ns0:pPr>
        <ns0:pStyle ns0:val="Heading2"/>
      </ns0:pPr>
      <ns0:r>
        <ns0:t xml:space="preserve">Automated research setup and process</ns0:t>
      </ns0:r>
    </ns0:p>
    <ns0:p>
      <ns0:pPr>
        <ns0:pStyle ns0:val="FirstParagraph"/>
      </ns0:pPr>
      <ns0:r>
        <ns0:t xml:space="preserve">Claude-opus-4.6 was equipped with the following scaffolding to research LDL cholesterol metabolism:</ns0:t>
      </ns0:r>
    </ns0:p>
    <ns0:p>
      <ns0:pPr>
        <ns0:pStyle ns0:val="Compact"/>
        <ns0:numPr>
          <ns0:ilvl ns0:val="0"/>
          <ns0:numId ns0:val="1002"/>
        </ns0:numPr>
      </ns0:pPr>
      <ns0:r>
        <ns0:t xml:space="preserve">a Python orchestration script,</ns0:t>
      </ns0:r>
    </ns0:p>
    <ns0:p>
      <ns0:pPr>
        <ns0:pStyle ns0:val="Compact"/>
        <ns0:numPr>
          <ns0:ilvl ns0:val="0"/>
          <ns0:numId ns0:val="1002"/>
        </ns0:numPr>
      </ns0:pPr>
      <ns0:r>
        <ns0:t xml:space="preserve">a Sqlite3 database for accumulating research notes,</ns0:t>
      </ns0:r>
    </ns0:p>
    <ns0:p>
      <ns0:pPr>
        <ns0:pStyle ns0:val="Compact"/>
        <ns0:numPr>
          <ns0:ilvl ns0:val="0"/>
          <ns0:numId ns0:val="1002"/>
        </ns0:numPr>
      </ns0:pPr>
      <ns0:r>
        <ns0:t xml:space="preserve">two claude-code instances:</ns0:t>
      </ns0:r>
    </ns0:p>
    <ns0:p>
      <ns0:pPr>
        <ns0:pStyle ns0:val="Compact"/>
        <ns0:numPr>
          <ns0:ilvl ns0:val="1"/>
          <ns0:numId ns0:val="1003"/>
        </ns0:numPr>
      </ns0:pPr>
      <ns0:r>
        <ns0:t xml:space="preserve">a</ns0:t>
      </ns0:r>
      <ns0:r>
        <ns0:t xml:space="preserve"> </ns0:t>
      </ns0:r>
      <ns0:r>
        <ns0:rPr>
          <ns0:i/>
          <ns0:iCs/>
        </ns0:rPr>
        <ns0:t xml:space="preserve">research agent</ns0:t>
      </ns0:r>
      <ns0:r>
        <ns0:t xml:space="preserve"> </ns0:t>
      </ns0:r>
      <ns0:r>
        <ns0:t xml:space="preserve">instance that is repeatedly reset, in a loop where</ns0:t>
      </ns0:r>
    </ns0:p>
    <ns0:p>
      <ns0:pPr>
        <ns0:pStyle ns0:val="Compact"/>
        <ns0:numPr>
          <ns0:ilvl ns0:val="2"/>
          <ns0:numId ns0:val="1004"/>
        </ns0:numPr>
      </ns0:pPr>
      <ns0:r>
        <ns0:t xml:space="preserve">the research agent writes research notes to the database in a standardised format</ns0:t>
      </ns0:r>
    </ns0:p>
    <ns0:p>
      <ns0:pPr>
        <ns0:pStyle ns0:val="Compact"/>
        <ns0:numPr>
          <ns0:ilvl ns0:val="2"/>
          <ns0:numId ns0:val="1004"/>
        </ns0:numPr>
      </ns0:pPr>
      <ns0:r>
        <ns0:t xml:space="preserve">the orchestration script assigns new research tasks based on those database entries.</ns0:t>
      </ns0:r>
    </ns0:p>
    <ns0:p>
      <ns0:pPr>
        <ns0:pStyle ns0:val="Compact"/>
        <ns0:numPr>
          <ns0:ilvl ns0:val="1"/>
          <ns0:numId ns0:val="1003"/>
        </ns0:numPr>
      </ns0:pPr>
      <ns0:r>
        <ns0:t xml:space="preserve">a</ns0:t>
      </ns0:r>
      <ns0:r>
        <ns0:t xml:space="preserve"> </ns0:t>
      </ns0:r>
      <ns0:r>
        <ns0:rPr>
          <ns0:i/>
          <ns0:iCs/>
        </ns0:rPr>
        <ns0:t xml:space="preserve">human-assisted coding agent</ns0:t>
      </ns0:r>
      <ns0:r>
        <ns0:t xml:space="preserve">, which supervised the research agent and identified technical difficulties with its internet connection and tooling during its first 3 failed attempts at fully automated research,</ns0:t>
      </ns0:r>
    </ns0:p>
    <ns0:p>
      <ns0:pPr>
        <ns0:pStyle ns0:val="Compact"/>
        <ns0:numPr>
          <ns0:ilvl ns0:val="0"/>
          <ns0:numId ns0:val="1002"/>
        </ns0:numPr>
      </ns0:pPr>
      <ns0:r>
        <ns0:t xml:space="preserve">an MCP server maintained by the human-assisted coding agent, employed by the research agent to scrape web articles, take research notes, and call a smaller AI model, claude-sonnet-4.6, to research and answer questions about articles.</ns0:t>
      </ns0:r>
    </ns0:p>
    <ns0:p>
      <ns0:pPr>
        <ns0:pStyle ns0:val="FirstParagraph"/>
      </ns0:pPr>
      <ns0:r>
        <ns0:t xml:space="preserve">The first three runs of the research agent failed with various web scraping errors and permissions issues, whereupon the coding agent and I identified and repaired problems with its design.</ns0:t>
      </ns0:r>
      <ns0:r>
        <ns0:t xml:space="preserve"> </ns0:t>
      </ns0:r>
      <ns0:r>
        <ns0:t xml:space="preserve">The fourth run was successful.</ns0:t>
      </ns0:r>
    </ns0:p>
    <ns0:p>
      <ns0:pPr>
        <ns0:pStyle ns0:val="BodyText"/>
      </ns0:pPr>
      <ns0:r>
        <ns0:t xml:space="preserve">For 15 hours, the research agent used its MCP server to search PubMed and other web sources for randomized controlled experiments (human RCTs, animal experiments, and in vitro studies), fetch and read full-text articles, and record structured evidence assessments, including the bearing of specific articles on specific beliefs.</ns0:t>
      </ns0:r>
      <ns0:r>
        <ns0:t xml:space="preserve"> </ns0:t>
      </ns0:r>
      <ns0:r>
        <ns0:t xml:space="preserve">It investigated 87 causal beliefs about LDL cholesterol metabolism.</ns0:t>
      </ns0:r>
      <ns0:r>
        <ns0:t xml:space="preserve"> </ns0:t>
      </ns0:r>
      <ns0:r>
        <ns0:t xml:space="preserve">The first 43 beliefs were generated by a single API query to claude-opus-4.6 asking it to decompose</ns0:t>
      </ns0:r>
      <ns0:r>
        <ns0:t xml:space="preserve"> </ns0:t>
      </ns0:r>
      <ns0:r>
        <ns0:t xml:space="preserve">“LDL cholesterol metabolism”</ns0:t>
      </ns0:r>
      <ns0:r>
        <ns0:t xml:space="preserve"> </ns0:t>
      </ns0:r>
      <ns0:r>
        <ns0:t xml:space="preserve">into causal assertions:</ns0:t>
      </ns0:r>
    </ns0:p>
    <ns0:p>
      <ns0:pPr>
        <ns0:pStyle ns0:val="BlockText"/>
      </ns0:pPr>
      <ns0:r>
        <ns0:t xml:space="preserve">What are the more important causal relationships involving LDL cholesterol metabolism in humans and animals?</ns0:t>
      </ns0:r>
    </ns0:p>
    <ns0:p>
      <ns0:pPr>
        <ns0:pStyle ns0:val="FirstParagraph"/>
      </ns0:pPr>
      <ns0:r>
        <ns0:t xml:space="preserve">A follow-up message then asked the model to serialize its response into structured JSON with credences, which the orchestrator parsed and inserted into the database.</ns0:t>
      </ns0:r>
    </ns0:p>
    <ns0:p>
      <ns0:pPr>
        <ns0:pStyle ns0:val="BodyText"/>
      </ns0:pPr>
      <ns0:r>
        <ns0:t xml:space="preserve">The remaining 44 beliefs were generated by two further API queries, each triggered when the research agent discovered a novel causal factor pair during investigation (hepatic de novo lipogenesis ↔ VLDL secretion, and RNF130 ↔ LDLR availability).</ns0:t>
      </ns0:r>
      <ns0:r>
        <ns0:t xml:space="preserve"> </ns0:t>
      </ns0:r>
      <ns0:r>
        <ns0:t xml:space="preserve">For each belief, the agent searched for counterevidence first, then corroborating evidence, assessed the evidence-generation landscape (e.g., whether absence of trials reflects funding economics or genuine lack of scientific relevance), and reported a posterior credence with explicit reasoning.</ns0:t>
      </ns0:r>
      <ns0:r>
        <ns0:t xml:space="preserve"> </ns0:t>
      </ns0:r>
      <ns0:r>
        <ns0:t xml:space="preserve">In total, the agent cached 717 articles, recorded 780 article-belief bearings, and generated 234 open research questions.</ns0:t>
      </ns0:r>
    </ns0:p>
    <ns0:bookmarkEnd ns0:id="10"/>
    <ns0:bookmarkStart ns0:id="15" ns0:name="results"/>
    <ns0:p>
      <ns0:pPr>
        <ns0:pStyle ns0:val="Heading2"/>
      </ns0:pPr>
      <ns0:r>
        <ns0:t xml:space="preserve">Results</ns0:t>
      </ns0:r>
    </ns0:p>
    <ns0:bookmarkStart ns0:id="11" ns0:name="X2d47a2ad2629bf9442905b925bc029ae616b612"/>
    <ns0:p>
      <ns0:pPr>
        <ns0:pStyle ns0:val="Heading3"/>
      </ns0:pPr>
      <ns0:r>
        <ns0:t xml:space="preserve">Inconsistencies and potential misinformation</ns0:t>
      </ns0:r>
    </ns0:p>
    <ns0:p>
      <ns0:pPr>
        <ns0:pStyle ns0:val="FirstParagraph"/>
      </ns0:pPr>
      <ns0:r>
        <ns0:t xml:space="preserve">Six beliefs (7%) that the model initially rated as more-likely-than-not were reversed to less-likely-than-not after investigation — meaning the model’s quick judgment and its careful judgment fell on opposite sides of 50%.</ns0:t>
      </ns0:r>
      <ns0:r>
        <ns0:t xml:space="preserve"> </ns0:t>
      </ns0:r>
      <ns0:r>
        <ns0:t xml:space="preserve">Future work could ascertain if these beliefs correspond to patterns of misinformation in human medical literature, where prevailing beliefs are not well-grounded in experimental findings.</ns0:t>
      </ns0:r>
      <ns0:r>
        <ns0:t xml:space="preserve"> </ns0:t>
      </ns0:r>
      <ns0:r>
        <ns0:t xml:space="preserve">If so, disseminating these inconsistencies could serve a broader public health benefit, beyond critiquing and improving claude-opus-4.6 alone:</ns0:t>
      </ns0:r>
    </ns0:p>
    <ns0:tbl>
      <ns0:tblPr>
        <ns0:tblStyle ns0:val="Table"/>
        <ns0:tblW ns0:type="pct" ns0:w="5000"/>
        <ns0:tblLayout ns0:type="fixed"/>
        <ns0:tblLook ns0:firstRow="1" ns0:lastRow="0" ns0:firstColumn="0" ns0:lastColumn="0" ns0:noHBand="0" ns0:noVBand="0" ns0:val="0020"/>
      </ns0:tblPr>
      <ns0:tblGrid>
        <ns0:gridCol ns0:w="2023"/>
        <ns0:gridCol ns0:w="2782"/>
        <ns0:gridCol ns0:w="1770"/>
        <ns0:gridCol ns0:w="2782"/>
      </ns0:tblGrid>
      <ns0:tr>
        <ns0:trPr>
          <ns0:tblHeader ns0:val="on"/>
        </ns0:trPr>
        <ns0:tc>
          <ns0:tcPr/>
          <ns0:p>
            <ns0:pPr>
              <ns0:pStyle ns0:val="Compact"/>
              <ns0:jc ns0:val="center"/>
            </ns0:pPr>
            <ns0:r>
              <ns0:t xml:space="preserve">Belief</ns0:t>
            </ns0:r>
          </ns0:p>
        </ns0:tc>
        <ns0:tc>
          <ns0:tcPr/>
          <ns0:p>
            <ns0:pPr>
              <ns0:pStyle ns0:val="Compact"/>
              <ns0:jc ns0:val="left"/>
            </ns0:pPr>
            <ns0:r>
              <ns0:t xml:space="preserve">Assertion</ns0:t>
            </ns0:r>
          </ns0:p>
        </ns0:tc>
        <ns0:tc>
          <ns0:tcPr/>
          <ns0:p>
            <ns0:pPr>
              <ns0:pStyle ns0:val="Compact"/>
              <ns0:jc ns0:val="center"/>
            </ns0:pPr>
            <ns0:r>
              <ns0:t xml:space="preserve">Prior</ns0:t>
            </ns0:r>
          </ns0:p>
        </ns0:tc>
        <ns0:tc>
          <ns0:tcPr/>
          <ns0:p>
            <ns0:pPr>
              <ns0:pStyle ns0:val="Compact"/>
              <ns0:jc ns0:val="center"/>
            </ns0:pPr>
            <ns0:r>
              <ns0:t xml:space="preserve">Posterior</ns0:t>
            </ns0:r>
          </ns0:p>
        </ns0:tc>
      </ns0:tr>
      <ns0:tr>
        <ns0:tc>
          <ns0:tcPr/>
          <ns0:p>
            <ns0:pPr>
              <ns0:pStyle ns0:val="Compact"/>
              <ns0:jc ns0:val="center"/>
            </ns0:pPr>
            <ns0:r>
              <ns0:t xml:space="preserve">37</ns0:t>
            </ns0:r>
          </ns0:p>
        </ns0:tc>
        <ns0:tc>
          <ns0:tcPr/>
          <ns0:p>
            <ns0:pPr>
              <ns0:pStyle ns0:val="Compact"/>
              <ns0:jc ns0:val="left"/>
            </ns0:pPr>
            <ns0:r>
              <ns0:t xml:space="preserve">Bile acid sequestrants decrease the hepatic bile acid pool</ns0:t>
            </ns0:r>
          </ns0:p>
        </ns0:tc>
        <ns0:tc>
          <ns0:tcPr/>
          <ns0:p>
            <ns0:pPr>
              <ns0:pStyle ns0:val="Compact"/>
              <ns0:jc ns0:val="center"/>
            </ns0:pPr>
            <ns0:r>
              <ns0:t xml:space="preserve">0.96</ns0:t>
            </ns0:r>
          </ns0:p>
        </ns0:tc>
        <ns0:tc>
          <ns0:tcPr/>
          <ns0:p>
            <ns0:pPr>
              <ns0:pStyle ns0:val="Compact"/>
              <ns0:jc ns0:val="center"/>
            </ns0:pPr>
            <ns0:r>
              <ns0:t xml:space="preserve">0.25</ns0:t>
            </ns0:r>
          </ns0:p>
        </ns0:tc>
      </ns0:tr>
      <ns0:tr>
        <ns0:tc>
          <ns0:tcPr/>
          <ns0:p>
            <ns0:pPr>
              <ns0:pStyle ns0:val="Compact"/>
              <ns0:jc ns0:val="center"/>
            </ns0:pPr>
            <ns0:r>
              <ns0:t xml:space="preserve">13</ns0:t>
            </ns0:r>
          </ns0:p>
        </ns0:tc>
        <ns0:tc>
          <ns0:tcPr/>
          <ns0:p>
            <ns0:pPr>
              <ns0:pStyle ns0:val="Compact"/>
              <ns0:jc ns0:val="left"/>
            </ns0:pPr>
            <ns0:r>
              <ns0:t xml:space="preserve">Dietary saturated fat increases hepatic cholesterol</ns0:t>
            </ns0:r>
          </ns0:p>
        </ns0:tc>
        <ns0:tc>
          <ns0:tcPr/>
          <ns0:p>
            <ns0:pPr>
              <ns0:pStyle ns0:val="Compact"/>
              <ns0:jc ns0:val="center"/>
            </ns0:pPr>
            <ns0:r>
              <ns0:t xml:space="preserve">0.88</ns0:t>
            </ns0:r>
          </ns0:p>
        </ns0:tc>
        <ns0:tc>
          <ns0:tcPr/>
          <ns0:p>
            <ns0:pPr>
              <ns0:pStyle ns0:val="Compact"/>
              <ns0:jc ns0:val="center"/>
            </ns0:pPr>
            <ns0:r>
              <ns0:t xml:space="preserve">0.20</ns0:t>
            </ns0:r>
          </ns0:p>
        </ns0:tc>
      </ns0:tr>
      <ns0:tr>
        <ns0:tc>
          <ns0:tcPr/>
          <ns0:p>
            <ns0:pPr>
              <ns0:pStyle ns0:val="Compact"/>
              <ns0:jc ns0:val="center"/>
            </ns0:pPr>
            <ns0:r>
              <ns0:t xml:space="preserve">74</ns0:t>
            </ns0:r>
          </ns0:p>
        </ns0:tc>
        <ns0:tc>
          <ns0:tcPr/>
          <ns0:p>
            <ns0:pPr>
              <ns0:pStyle ns0:val="Compact"/>
              <ns0:jc ns0:val="left"/>
            </ns0:pPr>
            <ns0:r>
              <ns0:t xml:space="preserve">High de novo lipogenesis increases high VLDL-TG secretion</ns0:t>
            </ns0:r>
          </ns0:p>
        </ns0:tc>
        <ns0:tc>
          <ns0:tcPr/>
          <ns0:p>
            <ns0:pPr>
              <ns0:pStyle ns0:val="Compact"/>
              <ns0:jc ns0:val="center"/>
            </ns0:pPr>
            <ns0:r>
              <ns0:t xml:space="preserve">0.85</ns0:t>
            </ns0:r>
          </ns0:p>
        </ns0:tc>
        <ns0:tc>
          <ns0:tcPr/>
          <ns0:p>
            <ns0:pPr>
              <ns0:pStyle ns0:val="Compact"/>
              <ns0:jc ns0:val="center"/>
            </ns0:pPr>
            <ns0:r>
              <ns0:t xml:space="preserve">0.15</ns0:t>
            </ns0:r>
          </ns0:p>
        </ns0:tc>
      </ns0:tr>
      <ns0:tr>
        <ns0:tc>
          <ns0:tcPr/>
          <ns0:p>
            <ns0:pPr>
              <ns0:pStyle ns0:val="Compact"/>
              <ns0:jc ns0:val="center"/>
            </ns0:pPr>
            <ns0:r>
              <ns0:t xml:space="preserve">47</ns0:t>
            </ns0:r>
          </ns0:p>
        </ns0:tc>
        <ns0:tc>
          <ns0:tcPr/>
          <ns0:p>
            <ns0:pPr>
              <ns0:pStyle ns0:val="Compact"/>
              <ns0:jc ns0:val="left"/>
            </ns0:pPr>
            <ns0:r>
              <ns0:t xml:space="preserve">De novo lipogenesis increases VLDL-TG secretion</ns0:t>
            </ns0:r>
          </ns0:p>
        </ns0:tc>
        <ns0:tc>
          <ns0:tcPr/>
          <ns0:p>
            <ns0:pPr>
              <ns0:pStyle ns0:val="Compact"/>
              <ns0:jc ns0:val="center"/>
            </ns0:pPr>
            <ns0:r>
              <ns0:t xml:space="preserve">0.82</ns0:t>
            </ns0:r>
          </ns0:p>
        </ns0:tc>
        <ns0:tc>
          <ns0:tcPr/>
          <ns0:p>
            <ns0:pPr>
              <ns0:pStyle ns0:val="Compact"/>
              <ns0:jc ns0:val="center"/>
            </ns0:pPr>
            <ns0:r>
              <ns0:t xml:space="preserve">0.15</ns0:t>
            </ns0:r>
          </ns0:p>
        </ns0:tc>
      </ns0:tr>
      <ns0:tr>
        <ns0:tc>
          <ns0:tcPr/>
          <ns0:p>
            <ns0:pPr>
              <ns0:pStyle ns0:val="Compact"/>
              <ns0:jc ns0:val="center"/>
            </ns0:pPr>
            <ns0:r>
              <ns0:t xml:space="preserve">56</ns0:t>
            </ns0:r>
          </ns0:p>
        </ns0:tc>
        <ns0:tc>
          <ns0:tcPr/>
          <ns0:p>
            <ns0:pPr>
              <ns0:pStyle ns0:val="Compact"/>
              <ns0:jc ns0:val="left"/>
            </ns0:pPr>
            <ns0:r>
              <ns0:t xml:space="preserve">Decreased de novo lipogenesis decreases VLDL-TG secretion</ns0:t>
            </ns0:r>
          </ns0:p>
        </ns0:tc>
        <ns0:tc>
          <ns0:tcPr/>
          <ns0:p>
            <ns0:pPr>
              <ns0:pStyle ns0:val="Compact"/>
              <ns0:jc ns0:val="center"/>
            </ns0:pPr>
            <ns0:r>
              <ns0:t xml:space="preserve">0.75</ns0:t>
            </ns0:r>
          </ns0:p>
        </ns0:tc>
        <ns0:tc>
          <ns0:tcPr/>
          <ns0:p>
            <ns0:pPr>
              <ns0:pStyle ns0:val="Compact"/>
              <ns0:jc ns0:val="center"/>
            </ns0:pPr>
            <ns0:r>
              <ns0:t xml:space="preserve">0.30</ns0:t>
            </ns0:r>
          </ns0:p>
        </ns0:tc>
      </ns0:tr>
      <ns0:tr>
        <ns0:tc>
          <ns0:tcPr/>
          <ns0:p>
            <ns0:pPr>
              <ns0:pStyle ns0:val="Compact"/>
              <ns0:jc ns0:val="center"/>
            </ns0:pPr>
            <ns0:r>
              <ns0:t xml:space="preserve">57</ns0:t>
            </ns0:r>
          </ns0:p>
        </ns0:tc>
        <ns0:tc>
          <ns0:tcPr/>
          <ns0:p>
            <ns0:pPr>
              <ns0:pStyle ns0:val="Compact"/>
              <ns0:jc ns0:val="left"/>
            </ns0:pPr>
            <ns0:r>
              <ns0:t xml:space="preserve">DNL-derived phosphatidylcholine increases VLDL secretion</ns0:t>
            </ns0:r>
          </ns0:p>
        </ns0:tc>
        <ns0:tc>
          <ns0:tcPr/>
          <ns0:p>
            <ns0:pPr>
              <ns0:pStyle ns0:val="Compact"/>
              <ns0:jc ns0:val="center"/>
            </ns0:pPr>
            <ns0:r>
              <ns0:t xml:space="preserve">0.72</ns0:t>
            </ns0:r>
          </ns0:p>
        </ns0:tc>
        <ns0:tc>
          <ns0:tcPr/>
          <ns0:p>
            <ns0:pPr>
              <ns0:pStyle ns0:val="Compact"/>
              <ns0:jc ns0:val="center"/>
            </ns0:pPr>
            <ns0:r>
              <ns0:t xml:space="preserve">0.15</ns0:t>
            </ns0:r>
          </ns0:p>
        </ns0:tc>
      </ns0:tr>
    </ns0:tbl>
    <ns0:p>
      <ns0:pPr>
        <ns0:pStyle ns0:val="BodyText"/>
      </ns0:pPr>
      <ns0:r>
        <ns0:t xml:space="preserve">These belief reversals share common patterns.</ns0:t>
      </ns0:r>
      <ns0:r>
        <ns0:t xml:space="preserve"> </ns0:t>
      </ns0:r>
      <ns0:r>
        <ns0:t xml:space="preserve">Beliefs 47, 56, 57, and 74 all concern the relationship between hepatic de novo lipogenesis (DNL) and VLDL triglyceride secretion.</ns0:t>
      </ns0:r>
      <ns0:r>
        <ns0:t xml:space="preserve"> </ns0:t>
      </ns0:r>
      <ns0:r>
        <ns0:t xml:space="preserve">The model’s prior assumed a plausible causal chain — more fat synthesis leads to more fat export — but multiple controlled experiments across humans, mice, and rats show these are independently regulated pathways.</ns0:t>
      </ns0:r>
      <ns0:r>
        <ns0:t xml:space="preserve"> </ns0:t>
      </ns0:r>
      <ns0:r>
        <ns0:t xml:space="preserve">Belief 13 reflects a compartment confusion: saturated fat increases</ns0:t>
      </ns0:r>
      <ns0:r>
        <ns0:t xml:space="preserve"> </ns0:t>
      </ns0:r>
      <ns0:r>
        <ns0:rPr>
          <ns0:i/>
          <ns0:iCs/>
        </ns0:rPr>
        <ns0:t xml:space="preserve">serum</ns0:t>
      </ns0:r>
      <ns0:r>
        <ns0:t xml:space="preserve"> </ns0:t>
      </ns0:r>
      <ns0:r>
        <ns0:t xml:space="preserve">cholesterol (true) but actually</ns0:t>
      </ns0:r>
      <ns0:r>
        <ns0:t xml:space="preserve"> </ns0:t>
      </ns0:r>
      <ns0:r>
        <ns0:rPr>
          <ns0:i/>
          <ns0:iCs/>
        </ns0:rPr>
        <ns0:t xml:space="preserve">decreases</ns0:t>
      </ns0:r>
      <ns0:r>
        <ns0:t xml:space="preserve"> </ns0:t>
      </ns0:r>
      <ns0:r>
        <ns0:t xml:space="preserve">hepatic cholesterol (the opposite direction).</ns0:t>
      </ns0:r>
      <ns0:r>
        <ns0:t xml:space="preserve"> </ns0:t>
      </ns0:r>
      <ns0:r>
        <ns0:t xml:space="preserve">Belief 37 reflects underweighting of homeostatic compensation: bile acid sequestrants increase fecal bile acid loss, but compensatory hepatic synthesis fully maintains the total pool.</ns0:t>
      </ns0:r>
    </ns0:p>
    <ns0:bookmarkEnd ns0:id="11"/>
    <ns0:bookmarkStart ns0:id="12" ns0:name="overconfidence"/>
    <ns0:p>
      <ns0:pPr>
        <ns0:pStyle ns0:val="Heading3"/>
      </ns0:pPr>
      <ns0:r>
        <ns0:t xml:space="preserve">Overconfidence</ns0:t>
      </ns0:r>
    </ns0:p>
    <ns0:p>
      <ns0:pPr>
        <ns0:pStyle ns0:val="FirstParagraph"/>
      </ns0:pPr>
      <ns0:r>
        <ns0:t xml:space="preserve">Across all 87 beliefs, the model’s API-generated priors were systematically higher than the posteriors reached after the research agent’s investigation.</ns0:t>
      </ns0:r>
      <ns0:r>
        <ns0:t xml:space="preserve"> </ns0:t>
      </ns0:r>
      <ns0:r>
        <ns0:t xml:space="preserve">The mean signed error was +0.062 (i.e., the priors were on average 6.2 percentage points higher than the posterior).</ns0:t>
      </ns0:r>
      <ns0:r>
        <ns0:t xml:space="preserve"> </ns0:t>
      </ns0:r>
      <ns0:r>
        <ns0:t xml:space="preserve">The mean absolute error was 0.086.</ns0:t>
      </ns0:r>
    </ns0:p>
    <ns0:p>
      <ns0:pPr>
        <ns0:pStyle ns0:val="BodyText"/>
      </ns0:pPr>
      <ns0:r>
        <ns0:t xml:space="preserve">The following calibration table bins beliefs by the model’s stated confidence and compares it to the mean posterior reached after the research agent read the primary experimental literature:</ns0:t>
      </ns0:r>
    </ns0:p>
    <ns0:tbl>
      <ns0:tblPr>
        <ns0:tblStyle ns0:val="Table"/>
        <ns0:tblW ns0:type="pct" ns0:w="5000"/>
        <ns0:tblLayout ns0:type="fixed"/>
        <ns0:tblLook ns0:firstRow="1" ns0:lastRow="0" ns0:firstColumn="0" ns0:lastColumn="0" ns0:noHBand="0" ns0:noVBand="0" ns0:val="0020"/>
      </ns0:tblPr>
      <ns0:tblGrid>
        <ns0:gridCol ns0:w="2614"/>
        <ns0:gridCol ns0:w="688"/>
        <ns0:gridCol ns0:w="1651"/>
        <ns0:gridCol ns0:w="2202"/>
        <ns0:gridCol ns0:w="2202"/>
      </ns0:tblGrid>
      <ns0:tr>
        <ns0:trPr>
          <ns0:tblHeader ns0:val="on"/>
        </ns0:trPr>
        <ns0:tc>
          <ns0:tcPr/>
          <ns0:p>
            <ns0:pPr>
              <ns0:pStyle ns0:val="Compact"/>
              <ns0:jc ns0:val="center"/>
            </ns0:pPr>
            <ns0:r>
              <ns0:t xml:space="preserve">Stated confidence</ns0:t>
            </ns0:r>
          </ns0:p>
        </ns0:tc>
        <ns0:tc>
          <ns0:tcPr/>
          <ns0:p>
            <ns0:pPr>
              <ns0:pStyle ns0:val="Compact"/>
              <ns0:jc ns0:val="center"/>
            </ns0:pPr>
            <ns0:r>
              <ns0:t xml:space="preserve">N</ns0:t>
            </ns0:r>
          </ns0:p>
        </ns0:tc>
        <ns0:tc>
          <ns0:tcPr/>
          <ns0:p>
            <ns0:pPr>
              <ns0:pStyle ns0:val="Compact"/>
              <ns0:jc ns0:val="center"/>
            </ns0:pPr>
            <ns0:r>
              <ns0:t xml:space="preserve">Mean prior</ns0:t>
            </ns0:r>
          </ns0:p>
        </ns0:tc>
        <ns0:tc>
          <ns0:tcPr/>
          <ns0:p>
            <ns0:pPr>
              <ns0:pStyle ns0:val="Compact"/>
              <ns0:jc ns0:val="center"/>
            </ns0:pPr>
            <ns0:r>
              <ns0:t xml:space="preserve">Mean posterior</ns0:t>
            </ns0:r>
          </ns0:p>
        </ns0:tc>
        <ns0:tc>
          <ns0:tcPr/>
          <ns0:p>
            <ns0:pPr>
              <ns0:pStyle ns0:val="Compact"/>
              <ns0:jc ns0:val="center"/>
            </ns0:pPr>
            <ns0:r>
              <ns0:t xml:space="preserve">Overconfidence</ns0:t>
            </ns0:r>
          </ns0:p>
        </ns0:tc>
      </ns0:tr>
      <ns0:tr>
        <ns0:tc>
          <ns0:tcPr/>
          <ns0:p>
            <ns0:pPr>
              <ns0:pStyle ns0:val="Compact"/>
              <ns0:jc ns0:val="center"/>
            </ns0:pPr>
            <ns0:r>
              <ns0:t xml:space="preserve">0.95–1.00</ns0:t>
            </ns0:r>
          </ns0:p>
        </ns0:tc>
        <ns0:tc>
          <ns0:tcPr/>
          <ns0:p>
            <ns0:pPr>
              <ns0:pStyle ns0:val="Compact"/>
              <ns0:jc ns0:val="center"/>
            </ns0:pPr>
            <ns0:r>
              <ns0:t xml:space="preserve">42</ns0:t>
            </ns0:r>
          </ns0:p>
        </ns0:tc>
        <ns0:tc>
          <ns0:tcPr/>
          <ns0:p>
            <ns0:pPr>
              <ns0:pStyle ns0:val="Compact"/>
              <ns0:jc ns0:val="center"/>
            </ns0:pPr>
            <ns0:r>
              <ns0:t xml:space="preserve">0.963</ns0:t>
            </ns0:r>
          </ns0:p>
        </ns0:tc>
        <ns0:tc>
          <ns0:tcPr/>
          <ns0:p>
            <ns0:pPr>
              <ns0:pStyle ns0:val="Compact"/>
              <ns0:jc ns0:val="center"/>
            </ns0:pPr>
            <ns0:r>
              <ns0:t xml:space="preserve">0.925</ns0:t>
            </ns0:r>
          </ns0:p>
        </ns0:tc>
        <ns0:tc>
          <ns0:tcPr/>
          <ns0:p>
            <ns0:pPr>
              <ns0:pStyle ns0:val="Compact"/>
              <ns0:jc ns0:val="center"/>
            </ns0:pPr>
            <ns0:r>
              <ns0:t xml:space="preserve">+0.04</ns0:t>
            </ns0:r>
          </ns0:p>
        </ns0:tc>
      </ns0:tr>
      <ns0:tr>
        <ns0:tc>
          <ns0:tcPr/>
          <ns0:p>
            <ns0:pPr>
              <ns0:pStyle ns0:val="Compact"/>
              <ns0:jc ns0:val="center"/>
            </ns0:pPr>
            <ns0:r>
              <ns0:t xml:space="preserve">0.90–0.94</ns0:t>
            </ns0:r>
          </ns0:p>
        </ns0:tc>
        <ns0:tc>
          <ns0:tcPr/>
          <ns0:p>
            <ns0:pPr>
              <ns0:pStyle ns0:val="Compact"/>
              <ns0:jc ns0:val="center"/>
            </ns0:pPr>
            <ns0:r>
              <ns0:t xml:space="preserve">22</ns0:t>
            </ns0:r>
          </ns0:p>
        </ns0:tc>
        <ns0:tc>
          <ns0:tcPr/>
          <ns0:p>
            <ns0:pPr>
              <ns0:pStyle ns0:val="Compact"/>
              <ns0:jc ns0:val="center"/>
            </ns0:pPr>
            <ns0:r>
              <ns0:t xml:space="preserve">0.922</ns0:t>
            </ns0:r>
          </ns0:p>
        </ns0:tc>
        <ns0:tc>
          <ns0:tcPr/>
          <ns0:p>
            <ns0:pPr>
              <ns0:pStyle ns0:val="Compact"/>
              <ns0:jc ns0:val="center"/>
            </ns0:pPr>
            <ns0:r>
              <ns0:t xml:space="preserve">0.878</ns0:t>
            </ns0:r>
          </ns0:p>
        </ns0:tc>
        <ns0:tc>
          <ns0:tcPr/>
          <ns0:p>
            <ns0:pPr>
              <ns0:pStyle ns0:val="Compact"/>
              <ns0:jc ns0:val="center"/>
            </ns0:pPr>
            <ns0:r>
              <ns0:t xml:space="preserve">+0.04</ns0:t>
            </ns0:r>
          </ns0:p>
        </ns0:tc>
      </ns0:tr>
      <ns0:tr>
        <ns0:tc>
          <ns0:tcPr/>
          <ns0:p>
            <ns0:pPr>
              <ns0:pStyle ns0:val="Compact"/>
              <ns0:jc ns0:val="center"/>
            </ns0:pPr>
            <ns0:r>
              <ns0:t xml:space="preserve">0.85–0.89</ns0:t>
            </ns0:r>
          </ns0:p>
        </ns0:tc>
        <ns0:tc>
          <ns0:tcPr/>
          <ns0:p>
            <ns0:pPr>
              <ns0:pStyle ns0:val="Compact"/>
              <ns0:jc ns0:val="center"/>
            </ns0:pPr>
            <ns0:r>
              <ns0:t xml:space="preserve">11</ns0:t>
            </ns0:r>
          </ns0:p>
        </ns0:tc>
        <ns0:tc>
          <ns0:tcPr/>
          <ns0:p>
            <ns0:pPr>
              <ns0:pStyle ns0:val="Compact"/>
              <ns0:jc ns0:val="center"/>
            </ns0:pPr>
            <ns0:r>
              <ns0:t xml:space="preserve">0.864</ns0:t>
            </ns0:r>
          </ns0:p>
        </ns0:tc>
        <ns0:tc>
          <ns0:tcPr/>
          <ns0:p>
            <ns0:pPr>
              <ns0:pStyle ns0:val="Compact"/>
              <ns0:jc ns0:val="center"/>
            </ns0:pPr>
            <ns0:r>
              <ns0:t xml:space="preserve">0.703</ns0:t>
            </ns0:r>
          </ns0:p>
        </ns0:tc>
        <ns0:tc>
          <ns0:tcPr/>
          <ns0:p>
            <ns0:pPr>
              <ns0:pStyle ns0:val="Compact"/>
              <ns0:jc ns0:val="center"/>
            </ns0:pPr>
            <ns0:r>
              <ns0:t xml:space="preserve">+0.16</ns0:t>
            </ns0:r>
          </ns0:p>
        </ns0:tc>
      </ns0:tr>
      <ns0:tr>
        <ns0:tc>
          <ns0:tcPr/>
          <ns0:p>
            <ns0:pPr>
              <ns0:pStyle ns0:val="Compact"/>
              <ns0:jc ns0:val="center"/>
            </ns0:pPr>
            <ns0:r>
              <ns0:t xml:space="preserve">0.80–0.84</ns0:t>
            </ns0:r>
          </ns0:p>
        </ns0:tc>
        <ns0:tc>
          <ns0:tcPr/>
          <ns0:p>
            <ns0:pPr>
              <ns0:pStyle ns0:val="Compact"/>
              <ns0:jc ns0:val="center"/>
            </ns0:pPr>
            <ns0:r>
              <ns0:t xml:space="preserve">6</ns0:t>
            </ns0:r>
          </ns0:p>
        </ns0:tc>
        <ns0:tc>
          <ns0:tcPr/>
          <ns0:p>
            <ns0:pPr>
              <ns0:pStyle ns0:val="Compact"/>
              <ns0:jc ns0:val="center"/>
            </ns0:pPr>
            <ns0:r>
              <ns0:t xml:space="preserve">0.812</ns0:t>
            </ns0:r>
          </ns0:p>
        </ns0:tc>
        <ns0:tc>
          <ns0:tcPr/>
          <ns0:p>
            <ns0:pPr>
              <ns0:pStyle ns0:val="Compact"/>
              <ns0:jc ns0:val="center"/>
            </ns0:pPr>
            <ns0:r>
              <ns0:t xml:space="preserve">0.743</ns0:t>
            </ns0:r>
          </ns0:p>
        </ns0:tc>
        <ns0:tc>
          <ns0:tcPr/>
          <ns0:p>
            <ns0:pPr>
              <ns0:pStyle ns0:val="Compact"/>
              <ns0:jc ns0:val="center"/>
            </ns0:pPr>
            <ns0:r>
              <ns0:t xml:space="preserve">+0.07</ns0:t>
            </ns0:r>
          </ns0:p>
        </ns0:tc>
      </ns0:tr>
      <ns0:tr>
        <ns0:tc>
          <ns0:tcPr/>
          <ns0:p>
            <ns0:pPr>
              <ns0:pStyle ns0:val="Compact"/>
              <ns0:jc ns0:val="center"/>
            </ns0:pPr>
            <ns0:r>
              <ns0:t xml:space="preserve">0.70–0.79</ns0:t>
            </ns0:r>
          </ns0:p>
        </ns0:tc>
        <ns0:tc>
          <ns0:tcPr/>
          <ns0:p>
            <ns0:pPr>
              <ns0:pStyle ns0:val="Compact"/>
              <ns0:jc ns0:val="center"/>
            </ns0:pPr>
            <ns0:r>
              <ns0:t xml:space="preserve">4</ns0:t>
            </ns0:r>
          </ns0:p>
        </ns0:tc>
        <ns0:tc>
          <ns0:tcPr/>
          <ns0:p>
            <ns0:pPr>
              <ns0:pStyle ns0:val="Compact"/>
              <ns0:jc ns0:val="center"/>
            </ns0:pPr>
            <ns0:r>
              <ns0:t xml:space="preserve">0.738</ns0:t>
            </ns0:r>
          </ns0:p>
        </ns0:tc>
        <ns0:tc>
          <ns0:tcPr/>
          <ns0:p>
            <ns0:pPr>
              <ns0:pStyle ns0:val="Compact"/>
              <ns0:jc ns0:val="center"/>
            </ns0:pPr>
            <ns0:r>
              <ns0:t xml:space="preserve">0.550</ns0:t>
            </ns0:r>
          </ns0:p>
        </ns0:tc>
        <ns0:tc>
          <ns0:tcPr/>
          <ns0:p>
            <ns0:pPr>
              <ns0:pStyle ns0:val="Compact"/>
              <ns0:jc ns0:val="center"/>
            </ns0:pPr>
            <ns0:r>
              <ns0:t xml:space="preserve">+0.19</ns0:t>
            </ns0:r>
          </ns0:p>
        </ns0:tc>
      </ns0:tr>
    </ns0:tbl>
    <ns0:p>
      <ns0:pPr>
        <ns0:pStyle ns0:val="BodyText"/>
      </ns0:pPr>
      <ns0:r>
        <ns0:t xml:space="preserve">The model is reasonably well-calibrated at very high confidence (0.95+).</ns0:t>
      </ns0:r>
      <ns0:r>
        <ns0:t xml:space="preserve"> </ns0:t>
      </ns0:r>
      <ns0:r>
        <ns0:t xml:space="preserve">Here the beliefs tended to concern single-gene or single-drug mechanisms with extensive experimental backing (e.g., PCSK9 → LDLR degradation, NPC1L1 → cholesterol absorption).</ns0:t>
      </ns0:r>
    </ns0:p>
    <ns0:p>
      <ns0:pPr>
        <ns0:pStyle ns0:val="BodyText"/>
      </ns0:pPr>
      <ns0:r>
        <ns0:t xml:space="preserve">But in the 0.70–0.89 range, the model is substantially overconfident, stating credences 7–19 percentage points higher than its posterior after reviewing the evidence.</ns0:t>
      </ns0:r>
      <ns0:r>
        <ns0:t xml:space="preserve"> </ns0:t>
      </ns0:r>
      <ns0:r>
        <ns0:t xml:space="preserve">The beliefs in this range fell into two categories:</ns0:t>
      </ns0:r>
    </ns0:p>
    <ns0:p>
      <ns0:pPr>
        <ns0:numPr>
          <ns0:ilvl ns0:val="0"/>
          <ns0:numId ns0:val="1005"/>
        </ns0:numPr>
      </ns0:pPr>
      <ns0:r>
        <ns0:rPr>
          <ns0:b/>
          <ns0:bCs/>
        </ns0:rPr>
        <ns0:t xml:space="preserve">Compressed causal chains</ns0:t>
      </ns0:r>
      <ns0:r>
        <ns0:t xml:space="preserve">, where a series of independently regulated steps is treated as a single cause-and-effect.</ns0:t>
      </ns0:r>
      <ns0:r>
        <ns0:t xml:space="preserve"> </ns0:t>
      </ns0:r>
      <ns0:r>
        <ns0:t xml:space="preserve">For example, the claim</ns0:t>
      </ns0:r>
      <ns0:r>
        <ns0:t xml:space="preserve"> </ns0:t>
      </ns0:r>
      <ns0:r>
        <ns0:t xml:space="preserve">“de novo lipogenesis increases VLDL secretion”</ns0:t>
      </ns0:r>
      <ns0:r>
        <ns0:t xml:space="preserve"> </ns0:t>
      </ns0:r>
      <ns0:r>
        <ns0:t xml:space="preserve">treats the chain fat synthesis → lipid pool → VLDL assembly → VLDL export as one link, but the liver can accumulate synthesized fat without exporting it, because VLDL export is regulated by a separate pathway.</ns0:t>
      </ns0:r>
    </ns0:p>
    <ns0:p>
      <ns0:pPr>
        <ns0:numPr>
          <ns0:ilvl ns0:val="0"/>
          <ns0:numId ns0:val="1005"/>
        </ns0:numPr>
      </ns0:pPr>
      <ns0:r>
        <ns0:rPr>
          <ns0:b/>
          <ns0:bCs/>
        </ns0:rPr>
        <ns0:t xml:space="preserve">Homeostatic compensation ignored</ns0:t>
      </ns0:r>
      <ns0:r>
        <ns0:t xml:space="preserve">, where the model doesn’t account for the body’s feedback loops counteracting an intervention.</ns0:t>
      </ns0:r>
      <ns0:r>
        <ns0:t xml:space="preserve"> </ns0:t>
      </ns0:r>
      <ns0:r>
        <ns0:t xml:space="preserve">For example, the model was 96% confident that bile acid sequestrants decrease the hepatic bile acid pool, but the liver compensates by increasing bile acid synthesis enough to fully maintain the pool.</ns0:t>
      </ns0:r>
    </ns0:p>
    <ns0:p>
      <ns0:pPr>
        <ns0:pStyle ns0:val="FirstParagraph"/>
      </ns0:pPr>
      <ns0:r>
        <ns0:t xml:space="preserve">Of the 87 beliefs, 33 (38%) were confirmed within ±0.02, 19 (22%) shifted down by more than 0.05, and 6 (7%) shifted up by more than 0.05.</ns0:t>
      </ns0:r>
    </ns0:p>
    <ns0:bookmarkEnd ns0:id="12"/>
    <ns0:bookmarkStart ns0:id="13" ns0:name="miscalibration"/>
    <ns0:p>
      <ns0:pPr>
        <ns0:pStyle ns0:val="Heading3"/>
      </ns0:pPr>
      <ns0:r>
        <ns0:t xml:space="preserve">Miscalibration</ns0:t>
      </ns0:r>
    </ns0:p>
    <ns0:p>
      <ns0:pPr>
        <ns0:pStyle ns0:val="FirstParagraph"/>
      </ns0:pPr>
      <ns0:r>
        <ns0:t xml:space="preserve">The overconfidence and inconsistency patterns above reflect a deeper miscalibration: the model’s stated credences do not reliably track the strength of experimental evidence.</ns0:t>
      </ns0:r>
      <ns0:r>
        <ns0:t xml:space="preserve"> </ns0:t>
      </ns0:r>
      <ns0:r>
        <ns0:t xml:space="preserve">The model appears to derive its confidence from the frequency and prominence of claims in its training text, rather than from the quality and direction of controlled experiments.</ns0:t>
      </ns0:r>
      <ns0:r>
        <ns0:t xml:space="preserve"> </ns0:t>
      </ns0:r>
      <ns0:r>
        <ns0:t xml:space="preserve">This leads to specific failure modes:</ns0:t>
      </ns0:r>
    </ns0:p>
    <ns0:p>
      <ns0:pPr>
        <ns0:numPr>
          <ns0:ilvl ns0:val="0"/>
          <ns0:numId ns0:val="1006"/>
        </ns0:numPr>
      </ns0:pPr>
      <ns0:r>
        <ns0:rPr>
          <ns0:b/>
          <ns0:bCs/>
        </ns0:rPr>
        <ns0:t xml:space="preserve">Over-compression of pathways</ns0:t>
      </ns0:r>
      <ns0:r>
        <ns0:t xml:space="preserve">: Multi-step pathways (A → B → C) get compressed into direct causal claims (A → C), losing the independent regulation at each step.</ns0:t>
      </ns0:r>
      <ns0:r>
        <ns0:t xml:space="preserve"> </ns0:t>
      </ns0:r>
      <ns0:r>
        <ns0:t xml:space="preserve">The DNL → VLDL-TG beliefs are the clearest example: the model rated</ns0:t>
      </ns0:r>
      <ns0:r>
        <ns0:t xml:space="preserve"> </ns0:t>
      </ns0:r>
      <ns0:r>
        <ns0:t xml:space="preserve">“de novo lipogenesis increases VLDL-TG secretion”</ns0:t>
      </ns0:r>
      <ns0:r>
        <ns0:t xml:space="preserve"> </ns0:t>
      </ns0:r>
      <ns0:r>
        <ns0:t xml:space="preserve">at 0.82 (belief 47), but the research agent lowered it to 0.15 after finding that a human RCT (N=94) doubled hepatic DNL with no change in VLDL-TG secretion, that an ACC inhibitor in rats reduced DNL 23–36% while VLDL-TG secretion</ns0:t>
      </ns0:r>
      <ns0:r>
        <ns0:t xml:space="preserve"> </ns0:t>
      </ns0:r>
      <ns0:r>
        <ns0:rPr>
          <ns0:i/>
          <ns0:iCs/>
        </ns0:rPr>
        <ns0:t xml:space="preserve">increased</ns0:t>
      </ns0:r>
      <ns0:r>
        <ns0:t xml:space="preserve"> </ns0:t>
      </ns0:r>
      <ns0:r>
        <ns0:t xml:space="preserve">15%, and that genetic dissection in mice (mTORC1 epistasis) proved DNL and VLDL secretion are regulated by parallel, independent pathways.</ns0:t>
      </ns0:r>
    </ns0:p>
    <ns0:p>
      <ns0:pPr>
        <ns0:numPr>
          <ns0:ilvl ns0:val="0"/>
          <ns0:numId ns0:val="1006"/>
        </ns0:numPr>
      </ns0:pPr>
      <ns0:r>
        <ns0:rPr>
          <ns0:b/>
          <ns0:bCs/>
        </ns0:rPr>
        <ns0:t xml:space="preserve">Homeostasis blindness</ns0:t>
      </ns0:r>
      <ns0:r>
        <ns0:t xml:space="preserve">: The model systematically underweights biological feedback loops that counteract interventions.</ns0:t>
      </ns0:r>
      <ns0:r>
        <ns0:t xml:space="preserve"> </ns0:t>
      </ns0:r>
      <ns0:r>
        <ns0:t xml:space="preserve">Bile acid sequestrants, for example, trigger compensatory synthesis that fully maintains the bile acid pool — a fact established by isotope tracer studies in the 1970s but apparently underrepresented in the model’s effective knowledge.</ns0:t>
      </ns0:r>
    </ns0:p>
    <ns0:p>
      <ns0:pPr>
        <ns0:numPr>
          <ns0:ilvl ns0:val="0"/>
          <ns0:numId ns0:val="1006"/>
        </ns0:numPr>
      </ns0:pPr>
      <ns0:r>
        <ns0:rPr>
          <ns0:b/>
          <ns0:bCs/>
        </ns0:rPr>
        <ns0:t xml:space="preserve">Correlation-as-causation</ns0:t>
      </ns0:r>
      <ns0:r>
        <ns0:t xml:space="preserve">: Items frequently discussed together in biomedical text (saturated fat + cholesterol, foam cells + atherosclerosis) receive high credence regardless of whether controlled experiments support the specific causal direction claimed.</ns0:t>
      </ns0:r>
    </ns0:p>
    <ns0:bookmarkEnd ns0:id="13"/>
    <ns0:bookmarkStart ns0:id="14" ns0:name="Xe41c0ce3afd328dc4100f2299879d418e3287b1"/>
    <ns0:p>
      <ns0:pPr>
        <ns0:pStyle ns0:val="Heading3"/>
      </ns0:pPr>
      <ns0:r>
        <ns0:t xml:space="preserve">Interesting questions for further exploration</ns0:t>
      </ns0:r>
    </ns0:p>
    <ns0:p>
      <ns0:pPr>
        <ns0:pStyle ns0:val="FirstParagraph"/>
      </ns0:pPr>
      <ns0:r>
        <ns0:t xml:space="preserve">The research agent generated 234 open questions during its investigations, none yet answered.</ns0:t>
      </ns0:r>
      <ns0:r>
        <ns0:t xml:space="preserve"> </ns0:t>
      </ns0:r>
      <ns0:r>
        <ns0:t xml:space="preserve">The highest-priority questions identify genuine scientific uncertainties that, in some cases, could be addressed by automated laboratory experiments:</ns0:t>
      </ns0:r>
    </ns0:p>
    <ns0:p>
      <ns0:pPr>
        <ns0:numPr>
          <ns0:ilvl ns0:val="0"/>
          <ns0:numId ns0:val="1007"/>
        </ns0:numPr>
      </ns0:pPr>
      <ns0:r>
        <ns0:rPr>
          <ns0:b/>
          <ns0:bCs/>
        </ns0:rPr>
        <ns0:t xml:space="preserve">Is LDL-C or apoB the true causal variable for atherosclerosis?</ns0:t>
      </ns0:r>
      <ns0:r>
        <ns0:t xml:space="preserve"> </ns0:t>
      </ns0:r>
      <ns0:r>
        <ns0:t xml:space="preserve">The CETP inhibitor evacetrapib lowered LDL-C by 32% but produced zero cardiovascular benefit (ACCELERATE trial, N=12,092), while drugs that lower both LDL-C and apoB consistently reduce events.</ns0:t>
      </ns0:r>
      <ns0:r>
        <ns0:t xml:space="preserve"> </ns0:t>
      </ns0:r>
      <ns0:r>
        <ns0:t xml:space="preserve">Resolving this could redirect therapeutic development.</ns0:t>
      </ns0:r>
    </ns0:p>
    <ns0:p>
      <ns0:pPr>
        <ns0:numPr>
          <ns0:ilvl ns0:val="0"/>
          <ns0:numId ns0:val="1007"/>
        </ns0:numPr>
      </ns0:pPr>
      <ns0:r>
        <ns0:rPr>
          <ns0:b/>
          <ns0:bCs/>
        </ns0:rPr>
        <ns0:t xml:space="preserve">Why does dalcetrapib (~50% CETP inhibition) fail to lower LDL-C while more potent CETP inhibitors succeed?</ns0:t>
      </ns0:r>
      <ns0:r>
        <ns0:t xml:space="preserve"> </ns0:t>
      </ns0:r>
      <ns0:r>
        <ns0:t xml:space="preserve">This threshold effect has implications for understanding lipoprotein remodeling.</ns0:t>
      </ns0:r>
    </ns0:p>
    <ns0:p>
      <ns0:pPr>
        <ns0:numPr>
          <ns0:ilvl ns0:val="0"/>
          <ns0:numId ns0:val="1007"/>
        </ns0:numPr>
      </ns0:pPr>
      <ns0:r>
        <ns0:rPr>
          <ns0:b/>
          <ns0:bCs/>
        </ns0:rPr>
        <ns0:t xml:space="preserve">Is foam cell formation causally separable from macrophage inflammation?</ns0:t>
      </ns0:r>
      <ns0:r>
        <ns0:t xml:space="preserve"> </ns0:t>
      </ns0:r>
      <ns0:r>
        <ns0:t xml:space="preserve">Nearly every intervention that increases foam cells also increases inflammatory signaling, making it impossible to attribute atherosclerosis to foam cell formation per se.</ns0:t>
      </ns0:r>
      <ns0:r>
        <ns0:t xml:space="preserve"> </ns0:t>
      </ns0:r>
      <ns0:r>
        <ns0:t xml:space="preserve">A clean experiment loading macrophages with non-inflammatory lipid could disentangle these pathways.</ns0:t>
      </ns0:r>
    </ns0:p>
    <ns0:p>
      <ns0:pPr>
        <ns0:numPr>
          <ns0:ilvl ns0:val="0"/>
          <ns0:numId ns0:val="1007"/>
        </ns0:numPr>
      </ns0:pPr>
      <ns0:r>
        <ns0:rPr>
          <ns0:b/>
          <ns0:bCs/>
        </ns0:rPr>
        <ns0:t xml:space="preserve">Does saturated fat affect the hepatic cholesterol regulatory pool differently from total hepatic cholesterol?</ns0:t>
      </ns0:r>
      <ns0:r>
        <ns0:t xml:space="preserve"> </ns0:t>
      </ns0:r>
      <ns0:r>
        <ns0:t xml:space="preserve">The Dietschy lab showed SFA reduces total hepatic cholesterol, but it may expand the regulatory pool sensed by SCAP/SREBP — which would reconcile the observed LDLR suppression with falling total stores.</ns0:t>
      </ns0:r>
    </ns0:p>
    <ns0:p>
      <ns0:pPr>
        <ns0:numPr>
          <ns0:ilvl ns0:val="0"/>
          <ns0:numId ns0:val="1007"/>
        </ns0:numPr>
      </ns0:pPr>
      <ns0:r>
        <ns0:rPr>
          <ns0:b/>
          <ns0:bCs/>
        </ns0:rPr>
        <ns0:t xml:space="preserve">Do the ongoing Lp(a)-lowering trials (pelacarsen, olpasiran) reduce cardiovascular events?</ns0:t>
      </ns0:r>
      <ns0:r>
        <ns0:t xml:space="preserve"> </ns0:t>
      </ns0:r>
      <ns0:r>
        <ns0:t xml:space="preserve">These provide the first clean test of Lp(a) causality in humans and would substantially update credences in either direction.</ns0:t>
      </ns0:r>
    </ns0:p>
    <ns0:bookmarkEnd ns0:id="14"/>
    <ns0:bookmarkEnd ns0:id="15"/>
    <ns0:bookmarkStart ns0:id="16" ns0:name="conclusion"/>
    <ns0:p>
      <ns0:pPr>
        <ns0:pStyle ns0:val="Heading2"/>
      </ns0:pPr>
      <ns0:r>
        <ns0:t xml:space="preserve">Conclusion</ns0:t>
      </ns0:r>
    </ns0:p>
    <ns0:p>
      <ns0:pPr>
        <ns0:pStyle ns0:val="FirstParagraph"/>
      </ns0:pPr>
      <ns0:r>
        <ns0:t xml:space="preserve">A scaffolded research agent built on claude-opus-4.6, in 15 hours of autonomous operation, identified meaningful errors in its own model’s medical knowledge.</ns0:t>
      </ns0:r>
      <ns0:r>
        <ns0:t xml:space="preserve"> </ns0:t>
      </ns0:r>
      <ns0:r>
        <ns0:t xml:space="preserve">The 87 beliefs investigated here revealed systematic overconfidence (mean signed error +0.062) and six outright reversals where the model’s quick and careful judgments fell on opposite sides of 50%.</ns0:t>
      </ns0:r>
      <ns0:r>
        <ns0:t xml:space="preserve"> </ns0:t>
      </ns0:r>
      <ns0:r>
        <ns0:t xml:space="preserve">The underlying errors fell into three recurring failure modes: over-compression of causal chains, homeostasis blindness, and correlation-as-causation.</ns0:t>
      </ns0:r>
    </ns0:p>
    <ns0:p>
      <ns0:pPr>
        <ns0:pStyle ns0:val="BodyText"/>
      </ns0:pPr>
      <ns0:r>
        <ns0:t xml:space="preserve">This work demonstrates the evaluation step of medical RSI: using a model to generate ground truth proxies that expose weaknesses in its knowledge and/or contradictions in prevailing wisdom.</ns0:t>
      </ns0:r>
      <ns0:r>
        <ns0:t xml:space="preserve"> </ns0:t>
      </ns0:r>
      <ns0:r>
        <ns0:t xml:space="preserve">The improvement step — feeding these findings back into training — remains future work, and might not be necessary for improving AI models in the near term, given that a large amount of high-quality medical data has not yet been exhausted for training.</ns0:t>
      </ns0:r>
    </ns0:p>
    <ns0:p>
      <ns0:pPr>
        <ns0:pStyle ns0:val="BodyText"/>
      </ns0:pPr>
      <ns0:r>
        <ns0:t xml:space="preserve">But even without closing that loop, the process may already be of practical value: the 234 open questions generated by the research agent may be of genuine scientific relevance to refining cholesterol metabolism models.</ns0:t>
      </ns0:r>
      <ns0:r>
        <ns0:t xml:space="preserve"> </ns0:t>
      </ns0:r>
      <ns0:r>
        <ns0:t xml:space="preserve">The six reversed beliefs may also flag areas where prevailing medical intuition among humans and/or AI models is poorly grounded in experimental evidence.</ns0:t>
      </ns0:r>
      <ns0:r>
        <ns0:t xml:space="preserve"> </ns0:t>
      </ns0:r>
      <ns0:r>
        <ns0:t xml:space="preserve">These</ns0:t>
      </ns0:r>
      <ns0:r>
        <ns0:t xml:space="preserve"> </ns0:t>
      </ns0:r>
      <ns0:r>
        <ns0:t xml:space="preserve">“maybes”</ns0:t>
      </ns0:r>
      <ns0:r>
        <ns0:t xml:space="preserve"> </ns0:t>
      </ns0:r>
      <ns0:r>
        <ns0:t xml:space="preserve">would need further investigation to assess — for instance, domain expert review of the reversed beliefs, or comparison of the agent’s posteriors against a different model’s conclusions.</ns0:t>
      </ns0:r>
    </ns0:p>
    <ns0:p>
      <ns0:pPr>
        <ns0:pStyle ns0:val="BodyText"/>
      </ns0:pPr>
      <ns0:r>
        <ns0:t xml:space="preserve">The main limitation is that the research agent itself could use better access to experiments or structured expert consultations for grounding its beliefs.</ns0:t>
      </ns0:r>
      <ns0:r>
        <ns0:t xml:space="preserve"> </ns0:t>
      </ns0:r>
      <ns0:r>
        <ns0:t xml:space="preserve">By design, the same model generates both the priors and the posteriors, so at present the</ns0:t>
      </ns0:r>
      <ns0:r>
        <ns0:t xml:space="preserve"> </ns0:t>
      </ns0:r>
      <ns0:r>
        <ns0:t xml:space="preserve">“ground truth”</ns0:t>
      </ns0:r>
      <ns0:r>
        <ns0:t xml:space="preserve"> </ns0:t>
      </ns0:r>
      <ns0:r>
        <ns0:t xml:space="preserve">is really</ns0:t>
      </ns0:r>
      <ns0:r>
        <ns0:t xml:space="preserve"> </ns0:t>
      </ns0:r>
      <ns0:r>
        <ns0:t xml:space="preserve">“what the model concludes when it reads more carefully.”</ns0:t>
      </ns0:r>
      <ns0:r>
        <ns0:t xml:space="preserve"> </ns0:t>
      </ns0:r>
      <ns0:r>
        <ns0:t xml:space="preserve">That said, the consistency of the agent’s reasoning (e.g., three independent investigations of the DNL → VLDL-TG claim all converging to 0.15 from different starting points) and its explicit citation of experimental evidence provide a degree of auditability that pure model introspection lacks.</ns0:t>
      </ns0:r>
    </ns0:p>
    <ns0:bookmarkEnd ns0:id="16"/>
    <ns0:bookmarkEnd ns0:id="17"/>
    <ns0:sectPr>
      <ns0:footnotePr>
        <ns0:numRestart ns0:val="eachSect"/>
      </ns0:footnotePr>
      <ns0:pgSz ns0:h="15840" ns0:w="12240"/>
      <ns0:pgMar ns0:bottom="1440" ns0:footer="720" ns0:header="720" ns0:left="1440" ns0:right="1440" ns0:top="144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rial" w:cs="Arial" w:eastAsia="Arial" w:hAnsi="Arial"/>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200" w:before="0"/>
    </w:pPr>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BodyText" w:type="paragraph">
    <w:name w:val="Body Text"/>
    <w:basedOn w:val="Normal"/>
    <w:pPr>
      <w:spacing w:after="200" w:before="0"/>
    </w:pPr>
  </w:style>
  <w:style w:styleId="FirstParagraph" w:type="paragraph">
    <w:name w:val="First Paragraph"/>
    <w:basedOn w:val="BodyText"/>
    <w:pPr>
      <w:spacing w:after="200" w:before="0"/>
    </w:pPr>
  </w:style>
  <w:style w:styleId="Table" w:type="table">
    <w:name w:val="Table"/>
    <w:basedOn w:val="TableNormal"/>
    <w:tblPr/>
    <w:tblStylePr w:type="firstRow">
      <w:rPr>
        <w:b/>
      </w:rPr>
      <w:tcPr>
        <w:tcBorders>
          <w:bottom w:color="000000" w:space="0" w:sz="12" w:val="single"/>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2026-03-27T06:14:22Z</dcterms:created>
  <dcterms:modified xsi:type="dcterms:W3CDTF">2026-03-27T06:14:22Z</dcterms:modified>
</cp:coreProperties>
</file>

<file path=docProps/custom.xml><?xml version="1.0" encoding="utf-8"?>
<Properties xmlns="http://schemas.openxmlformats.org/officeDocument/2006/custom-properties" xmlns:vt="http://schemas.openxmlformats.org/officeDocument/2006/docPropsVTypes"/>
</file>