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Deep Learning Super-Resolution for MRI in Low- and Middle-Income Countries: A Systematic Review</w:t>
      </w:r>
    </w:p>
    <w:p>
      <w:pPr>
        <w:jc w:val="center"/>
      </w:pPr>
      <w:r>
        <w:rPr>
          <w:sz w:val="20"/>
        </w:rPr>
        <w:t>Systematic Review  ·  Nature Machine Intelligence  ·  n = 51 studies  ·  2020–2025</w:t>
      </w:r>
    </w:p>
    <w:p/>
    <w:p>
      <w:pPr>
        <w:pStyle w:val="Heading1"/>
      </w:pPr>
      <w:r>
        <w:t>Abstract</w:t>
      </w:r>
    </w:p>
    <w:p>
      <w:pPr>
        <w:spacing w:after="80"/>
      </w:pPr>
      <w:r>
        <w:rPr>
          <w:i/>
          <w:color w:val="7F7F7F"/>
        </w:rPr>
        <w:t>[150-word unreferenced abstract. Key numbers: n=51, CNN 49%, U-Net 23.5%, low-field 29.4%, PSNR reported 39.2%, SSIM 37.3%, high-LMIC ≥4: 15 studies (29.4%)]</w:t>
      </w:r>
    </w:p>
    <w:p>
      <w:pPr>
        <w:pStyle w:val="Heading1"/>
      </w:pPr>
      <w:r>
        <w:t>1. Introduction</w:t>
      </w:r>
    </w:p>
    <w:p>
      <w:pPr>
        <w:spacing w:after="80"/>
      </w:pPr>
      <w:r>
        <w:rPr>
          <w:i/>
          <w:color w:val="7F7F7F"/>
        </w:rPr>
        <w:t>[Text — to be written]</w:t>
      </w:r>
    </w:p>
    <w:p>
      <w:pPr>
        <w:pStyle w:val="Heading1"/>
      </w:pPr>
      <w:r>
        <w:t>2. Methods</w:t>
      </w:r>
    </w:p>
    <w:p>
      <w:pPr>
        <w:pStyle w:val="Heading2"/>
      </w:pPr>
      <w:r>
        <w:t>2.1 Search Strategy</w:t>
      </w:r>
    </w:p>
    <w:p>
      <w:pPr>
        <w:spacing w:after="80"/>
      </w:pPr>
      <w:r>
        <w:rPr>
          <w:i/>
          <w:color w:val="7F7F7F"/>
        </w:rPr>
        <w:t>[Text — to be written]</w:t>
      </w:r>
    </w:p>
    <w:p>
      <w:pPr>
        <w:pStyle w:val="Heading2"/>
      </w:pPr>
      <w:r>
        <w:t>2.2 Study Selection</w:t>
      </w:r>
    </w:p>
    <w:p>
      <w:pPr>
        <w:spacing w:after="80"/>
      </w:pPr>
      <w:r>
        <w:rPr>
          <w:i/>
          <w:color w:val="7F7F7F"/>
        </w:rPr>
        <w:t>[Text — to be written]</w:t>
      </w:r>
    </w:p>
    <w:p>
      <w:pPr>
        <w:pStyle w:val="Heading2"/>
      </w:pPr>
      <w:r>
        <w:t>2.3 Data Extraction</w:t>
      </w:r>
    </w:p>
    <w:p>
      <w:pPr>
        <w:spacing w:after="80"/>
      </w:pPr>
      <w:r>
        <w:rPr>
          <w:i/>
          <w:color w:val="7F7F7F"/>
        </w:rPr>
        <w:t>[Text — to be written]</w:t>
      </w:r>
    </w:p>
    <w:p>
      <w:pPr>
        <w:pStyle w:val="Heading2"/>
      </w:pPr>
      <w:r>
        <w:t>2.4 LMIC Relevance Scoring Framework</w:t>
      </w:r>
    </w:p>
    <w:p>
      <w:pPr>
        <w:spacing w:after="80"/>
      </w:pPr>
      <w:r>
        <w:rPr>
          <w:i/>
          <w:color w:val="7F7F7F"/>
        </w:rPr>
        <w:t>[Text — to be written]</w:t>
      </w:r>
    </w:p>
    <w:p>
      <w:pPr>
        <w:pStyle w:val="Heading2"/>
      </w:pPr>
      <w:r>
        <w:t>2.5 Quality Assessment</w:t>
      </w:r>
    </w:p>
    <w:p>
      <w:pPr>
        <w:spacing w:after="80"/>
      </w:pPr>
      <w:r>
        <w:rPr>
          <w:i/>
          <w:color w:val="7F7F7F"/>
        </w:rPr>
        <w:t>[Text — to be written]</w:t>
      </w:r>
    </w:p>
    <w:p>
      <w:pPr>
        <w:pStyle w:val="Heading2"/>
      </w:pPr>
      <w:r>
        <w:t>2.6 Statistical Analysis</w:t>
      </w:r>
    </w:p>
    <w:p>
      <w:pPr>
        <w:spacing w:after="80"/>
      </w:pPr>
      <w:r>
        <w:rPr>
          <w:i/>
          <w:color w:val="7F7F7F"/>
        </w:rPr>
        <w:t>[Text — to be written]</w:t>
      </w:r>
    </w:p>
    <w:p>
      <w:pPr>
        <w:pStyle w:val="Heading1"/>
      </w:pPr>
      <w:r>
        <w:t>3. Results</w:t>
      </w:r>
    </w:p>
    <w:p>
      <w:pPr>
        <w:pStyle w:val="Heading2"/>
      </w:pPr>
      <w:r>
        <w:t>3.1 Study Characteristics and Publication Trends</w:t>
      </w:r>
    </w:p>
    <w:p>
      <w:pPr>
        <w:spacing w:after="80"/>
      </w:pPr>
      <w:r>
        <w:rPr>
          <w:i/>
          <w:color w:val="7F7F7F"/>
        </w:rPr>
        <w:t>[Text — to be written]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6296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risma_flow_sv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29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E86AB"/>
          <w:sz w:val="17"/>
        </w:rPr>
        <w:t>Figure 1A. PRISMA flow diagram. 183 records → 172 (dedup) → 104 (full-text) → 56 (eligibility) → 51 primary SR studies. Breakdown: Application area, Architecture (U-Net=12†), Field strength. †U-Net=12 after Paper 32 reclassification.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28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year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8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E86AB"/>
          <w:sz w:val="17"/>
        </w:rPr>
        <w:t>Figure 1B. Publication year distribution (2020–2025), n = 51 studies.</w:t>
      </w:r>
    </w:p>
    <w:p/>
    <w:p>
      <w:pPr>
        <w:spacing w:before="160" w:after="40"/>
      </w:pPr>
      <w:r>
        <w:rPr>
          <w:b/>
          <w:sz w:val="18"/>
        </w:rPr>
        <w:t>Table 1. Study characteristics of 51 primary SR studies. n (%). †Hybrid = multi-architecture combinations. ‡Non-AI = Fourier-based (n=1). *56 papers passed eligibility screening; 5 non-applicable excluded → 51 primary SR studies.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397"/>
        </w:trPr>
        <w:tc>
          <w:tcPr>
            <w:tcW w:type="dxa" w:w="4819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Characteristic</w:t>
            </w:r>
          </w:p>
        </w:tc>
        <w:tc>
          <w:tcPr>
            <w:tcW w:type="dxa" w:w="1417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417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sz w:val="16"/>
              </w:rPr>
              <w:t>Total papers included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819"/>
            <w:vAlign w:val="center"/>
            <w:shd w:val="clear" w:color="auto" w:fill="EBF5FB"/>
          </w:tcPr>
          <w:p>
            <w:r>
              <w:rPr>
                <w:sz w:val="16"/>
              </w:rPr>
              <w:t>Publication year range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2020–2025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sz w:val="16"/>
              </w:rPr>
              <w:t xml:space="preserve">  2020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11.8%</w:t>
            </w:r>
          </w:p>
        </w:tc>
      </w:tr>
      <w:tr>
        <w:tc>
          <w:tcPr>
            <w:tcW w:type="dxa" w:w="4819"/>
            <w:vAlign w:val="center"/>
            <w:shd w:val="clear" w:color="auto" w:fill="EBF5FB"/>
          </w:tcPr>
          <w:p>
            <w:r>
              <w:rPr>
                <w:sz w:val="16"/>
              </w:rPr>
              <w:t xml:space="preserve">  2021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21.6%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sz w:val="16"/>
              </w:rPr>
              <w:t xml:space="preserve">  2022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15.7%</w:t>
            </w:r>
          </w:p>
        </w:tc>
      </w:tr>
      <w:tr>
        <w:tc>
          <w:tcPr>
            <w:tcW w:type="dxa" w:w="4819"/>
            <w:vAlign w:val="center"/>
            <w:shd w:val="clear" w:color="auto" w:fill="EBF5FB"/>
          </w:tcPr>
          <w:p>
            <w:r>
              <w:rPr>
                <w:sz w:val="16"/>
              </w:rPr>
              <w:t xml:space="preserve">  2023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25.5%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sz w:val="16"/>
              </w:rPr>
              <w:t xml:space="preserve">  2024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21.6%</w:t>
            </w:r>
          </w:p>
        </w:tc>
      </w:tr>
      <w:tr>
        <w:tc>
          <w:tcPr>
            <w:tcW w:type="dxa" w:w="4819"/>
            <w:vAlign w:val="center"/>
            <w:shd w:val="clear" w:color="auto" w:fill="EBF5FB"/>
          </w:tcPr>
          <w:p>
            <w:r>
              <w:rPr>
                <w:sz w:val="16"/>
              </w:rPr>
              <w:t xml:space="preserve">  2025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3.9%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819"/>
            <w:vAlign w:val="center"/>
            <w:shd w:val="clear" w:color="auto" w:fill="EBF5FB"/>
          </w:tcPr>
          <w:p>
            <w:r>
              <w:rPr>
                <w:sz w:val="16"/>
              </w:rPr>
              <w:t>MRI Application Area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%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sz w:val="16"/>
              </w:rPr>
              <w:t xml:space="preserve">  Brain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51.0%</w:t>
            </w:r>
          </w:p>
        </w:tc>
      </w:tr>
      <w:tr>
        <w:tc>
          <w:tcPr>
            <w:tcW w:type="dxa" w:w="4819"/>
            <w:vAlign w:val="center"/>
            <w:shd w:val="clear" w:color="auto" w:fill="EBF5FB"/>
          </w:tcPr>
          <w:p>
            <w:r>
              <w:rPr>
                <w:sz w:val="16"/>
              </w:rPr>
              <w:t xml:space="preserve">  Musculoskeletal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13.7%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sz w:val="16"/>
              </w:rPr>
              <w:t xml:space="preserve">  General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9.8%</w:t>
            </w:r>
          </w:p>
        </w:tc>
      </w:tr>
      <w:tr>
        <w:tc>
          <w:tcPr>
            <w:tcW w:type="dxa" w:w="4819"/>
            <w:vAlign w:val="center"/>
            <w:shd w:val="clear" w:color="auto" w:fill="EBF5FB"/>
          </w:tcPr>
          <w:p>
            <w:r>
              <w:rPr>
                <w:sz w:val="16"/>
              </w:rPr>
              <w:t xml:space="preserve">  Cardiac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7.8%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sz w:val="16"/>
              </w:rPr>
              <w:t xml:space="preserve">  Flow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5.9%</w:t>
            </w:r>
          </w:p>
        </w:tc>
      </w:tr>
      <w:tr>
        <w:tc>
          <w:tcPr>
            <w:tcW w:type="dxa" w:w="4819"/>
            <w:vAlign w:val="center"/>
            <w:shd w:val="clear" w:color="auto" w:fill="EBF5FB"/>
          </w:tcPr>
          <w:p>
            <w:r>
              <w:rPr>
                <w:sz w:val="16"/>
              </w:rPr>
              <w:t xml:space="preserve">  Abdominal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3.9%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sz w:val="16"/>
              </w:rPr>
              <w:t xml:space="preserve">  Other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3.9%</w:t>
            </w:r>
          </w:p>
        </w:tc>
      </w:tr>
      <w:tr>
        <w:tc>
          <w:tcPr>
            <w:tcW w:type="dxa" w:w="4819"/>
            <w:vAlign w:val="center"/>
            <w:shd w:val="clear" w:color="auto" w:fill="EBF5FB"/>
          </w:tcPr>
          <w:p>
            <w:r>
              <w:rPr>
                <w:sz w:val="16"/>
              </w:rPr>
              <w:t xml:space="preserve">  Prostate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2.0%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sz w:val="16"/>
              </w:rPr>
              <w:t xml:space="preserve">  Pediatric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2.0%</w:t>
            </w:r>
          </w:p>
        </w:tc>
      </w:tr>
      <w:tr>
        <w:tc>
          <w:tcPr>
            <w:tcW w:type="dxa" w:w="4819"/>
            <w:vAlign w:val="center"/>
            <w:shd w:val="clear" w:color="auto" w:fill="EBF5FB"/>
          </w:tcPr>
          <w:p>
            <w:r>
              <w:rPr>
                <w:sz w:val="16"/>
              </w:rPr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sz w:val="16"/>
              </w:rPr>
              <w:t>Field Strength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%</w:t>
            </w:r>
          </w:p>
        </w:tc>
      </w:tr>
      <w:tr>
        <w:tc>
          <w:tcPr>
            <w:tcW w:type="dxa" w:w="4819"/>
            <w:vAlign w:val="center"/>
            <w:shd w:val="clear" w:color="auto" w:fill="EBF5FB"/>
          </w:tcPr>
          <w:p>
            <w:r>
              <w:rPr>
                <w:sz w:val="16"/>
              </w:rPr>
              <w:t xml:space="preserve">  Not specified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33.3%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sz w:val="16"/>
              </w:rPr>
              <w:t xml:space="preserve">  Standard-field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33.3%</w:t>
            </w:r>
          </w:p>
        </w:tc>
      </w:tr>
      <w:tr>
        <w:tc>
          <w:tcPr>
            <w:tcW w:type="dxa" w:w="4819"/>
            <w:vAlign w:val="center"/>
            <w:shd w:val="clear" w:color="auto" w:fill="EBF5FB"/>
          </w:tcPr>
          <w:p>
            <w:r>
              <w:rPr>
                <w:sz w:val="16"/>
              </w:rPr>
              <w:t xml:space="preserve">  Low-field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19.6%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sz w:val="16"/>
              </w:rPr>
              <w:t xml:space="preserve">  Mixed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11.8%</w:t>
            </w:r>
          </w:p>
        </w:tc>
      </w:tr>
      <w:tr>
        <w:tc>
          <w:tcPr>
            <w:tcW w:type="dxa" w:w="4819"/>
            <w:vAlign w:val="center"/>
            <w:shd w:val="clear" w:color="auto" w:fill="EBF5FB"/>
          </w:tcPr>
          <w:p>
            <w:r>
              <w:rPr>
                <w:sz w:val="16"/>
              </w:rPr>
              <w:t xml:space="preserve">  High-field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2.0%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819"/>
            <w:vAlign w:val="center"/>
            <w:shd w:val="clear" w:color="auto" w:fill="EBF5FB"/>
          </w:tcPr>
          <w:p>
            <w:r>
              <w:rPr>
                <w:sz w:val="16"/>
              </w:rPr>
              <w:t>Primary Focus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%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sz w:val="16"/>
              </w:rPr>
              <w:t xml:space="preserve">  Pure SR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29.4%</w:t>
            </w:r>
          </w:p>
        </w:tc>
      </w:tr>
      <w:tr>
        <w:tc>
          <w:tcPr>
            <w:tcW w:type="dxa" w:w="4819"/>
            <w:vAlign w:val="center"/>
            <w:shd w:val="clear" w:color="auto" w:fill="EBF5FB"/>
          </w:tcPr>
          <w:p>
            <w:r>
              <w:rPr>
                <w:sz w:val="16"/>
              </w:rPr>
              <w:t xml:space="preserve">  SR + Denoising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15.7%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sz w:val="16"/>
              </w:rPr>
              <w:t xml:space="preserve">  SR + Classification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13.7%</w:t>
            </w:r>
          </w:p>
        </w:tc>
      </w:tr>
      <w:tr>
        <w:tc>
          <w:tcPr>
            <w:tcW w:type="dxa" w:w="4819"/>
            <w:vAlign w:val="center"/>
            <w:shd w:val="clear" w:color="auto" w:fill="EBF5FB"/>
          </w:tcPr>
          <w:p>
            <w:r>
              <w:rPr>
                <w:sz w:val="16"/>
              </w:rPr>
              <w:t xml:space="preserve">  SR + Segmentation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11.8%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sz w:val="16"/>
              </w:rPr>
              <w:t xml:space="preserve">  SR + Diagnosis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9.8%</w:t>
            </w:r>
          </w:p>
        </w:tc>
      </w:tr>
      <w:tr>
        <w:tc>
          <w:tcPr>
            <w:tcW w:type="dxa" w:w="4819"/>
            <w:vAlign w:val="center"/>
            <w:shd w:val="clear" w:color="auto" w:fill="EBF5FB"/>
          </w:tcPr>
          <w:p>
            <w:r>
              <w:rPr>
                <w:sz w:val="16"/>
              </w:rPr>
              <w:t xml:space="preserve">  Other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9.8%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sz w:val="16"/>
              </w:rPr>
              <w:t xml:space="preserve">  SR + Other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7.8%</w:t>
            </w:r>
          </w:p>
        </w:tc>
      </w:tr>
      <w:tr>
        <w:tc>
          <w:tcPr>
            <w:tcW w:type="dxa" w:w="4819"/>
            <w:vAlign w:val="center"/>
            <w:shd w:val="clear" w:color="auto" w:fill="EBF5FB"/>
          </w:tcPr>
          <w:p>
            <w:r>
              <w:rPr>
                <w:sz w:val="16"/>
              </w:rPr>
              <w:t xml:space="preserve">  Review/Survey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2.0%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819"/>
            <w:vAlign w:val="center"/>
            <w:shd w:val="clear" w:color="auto" w:fill="EBF5FB"/>
          </w:tcPr>
          <w:p>
            <w:r>
              <w:rPr>
                <w:sz w:val="16"/>
              </w:rPr>
              <w:t>AI Architecture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%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sz w:val="16"/>
              </w:rPr>
              <w:t xml:space="preserve">  CNN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49.0%</w:t>
            </w:r>
          </w:p>
        </w:tc>
      </w:tr>
      <w:tr>
        <w:tc>
          <w:tcPr>
            <w:tcW w:type="dxa" w:w="4819"/>
            <w:vAlign w:val="center"/>
            <w:shd w:val="clear" w:color="auto" w:fill="EBF5FB"/>
          </w:tcPr>
          <w:p>
            <w:r>
              <w:rPr>
                <w:sz w:val="16"/>
              </w:rPr>
              <w:t xml:space="preserve">  U-Net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21.6%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sz w:val="16"/>
              </w:rPr>
              <w:t xml:space="preserve">  Hybrid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11.8%</w:t>
            </w:r>
          </w:p>
        </w:tc>
      </w:tr>
      <w:tr>
        <w:tc>
          <w:tcPr>
            <w:tcW w:type="dxa" w:w="4819"/>
            <w:vAlign w:val="center"/>
            <w:shd w:val="clear" w:color="auto" w:fill="EBF5FB"/>
          </w:tcPr>
          <w:p>
            <w:r>
              <w:rPr>
                <w:sz w:val="16"/>
              </w:rPr>
              <w:t xml:space="preserve">  GAN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7.8%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sz w:val="16"/>
              </w:rPr>
              <w:t xml:space="preserve">  Other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3.9%</w:t>
            </w:r>
          </w:p>
        </w:tc>
      </w:tr>
      <w:tr>
        <w:tc>
          <w:tcPr>
            <w:tcW w:type="dxa" w:w="4819"/>
            <w:vAlign w:val="center"/>
            <w:shd w:val="clear" w:color="auto" w:fill="EBF5FB"/>
          </w:tcPr>
          <w:p>
            <w:r>
              <w:rPr>
                <w:sz w:val="16"/>
              </w:rPr>
              <w:t xml:space="preserve">  Diffusion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2.0%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sz w:val="16"/>
              </w:rPr>
              <w:t xml:space="preserve">  Non-AI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2.0%</w:t>
            </w:r>
          </w:p>
        </w:tc>
      </w:tr>
      <w:tr>
        <w:tc>
          <w:tcPr>
            <w:tcW w:type="dxa" w:w="4819"/>
            <w:vAlign w:val="center"/>
            <w:shd w:val="clear" w:color="auto" w:fill="EBF5FB"/>
          </w:tcPr>
          <w:p>
            <w:r>
              <w:rPr>
                <w:sz w:val="16"/>
              </w:rPr>
              <w:t xml:space="preserve">  Transformer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2.0%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819"/>
            <w:vAlign w:val="center"/>
            <w:shd w:val="clear" w:color="auto" w:fill="EBF5FB"/>
          </w:tcPr>
          <w:p>
            <w:r>
              <w:rPr>
                <w:sz w:val="16"/>
              </w:rPr>
              <w:t>Dataset Type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%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sz w:val="16"/>
              </w:rPr>
              <w:t xml:space="preserve">  Public benchmark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35.3%</w:t>
            </w:r>
          </w:p>
        </w:tc>
      </w:tr>
      <w:tr>
        <w:tc>
          <w:tcPr>
            <w:tcW w:type="dxa" w:w="4819"/>
            <w:vAlign w:val="center"/>
            <w:shd w:val="clear" w:color="auto" w:fill="EBF5FB"/>
          </w:tcPr>
          <w:p>
            <w:r>
              <w:rPr>
                <w:sz w:val="16"/>
              </w:rPr>
              <w:t xml:space="preserve">  Mixed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27.5%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sz w:val="16"/>
              </w:rPr>
              <w:t xml:space="preserve">  Clinical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21.6%</w:t>
            </w:r>
          </w:p>
        </w:tc>
      </w:tr>
      <w:tr>
        <w:tc>
          <w:tcPr>
            <w:tcW w:type="dxa" w:w="4819"/>
            <w:vAlign w:val="center"/>
            <w:shd w:val="clear" w:color="auto" w:fill="EBF5FB"/>
          </w:tcPr>
          <w:p>
            <w:r>
              <w:rPr>
                <w:sz w:val="16"/>
              </w:rPr>
              <w:t xml:space="preserve">  Synthetic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7.8%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sz w:val="16"/>
              </w:rPr>
              <w:t xml:space="preserve">  Other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3.9%</w:t>
            </w:r>
          </w:p>
        </w:tc>
      </w:tr>
      <w:tr>
        <w:tc>
          <w:tcPr>
            <w:tcW w:type="dxa" w:w="4819"/>
            <w:vAlign w:val="center"/>
            <w:shd w:val="clear" w:color="auto" w:fill="EBF5FB"/>
          </w:tcPr>
          <w:p>
            <w:r>
              <w:rPr>
                <w:sz w:val="16"/>
              </w:rPr>
              <w:t xml:space="preserve">  Not reported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2.0%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sz w:val="16"/>
              </w:rPr>
              <w:t xml:space="preserve">  Private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2.0%</w:t>
            </w:r>
          </w:p>
        </w:tc>
      </w:tr>
      <w:tr>
        <w:tc>
          <w:tcPr>
            <w:tcW w:type="dxa" w:w="4819"/>
            <w:vAlign w:val="center"/>
            <w:shd w:val="clear" w:color="auto" w:fill="EBF5FB"/>
          </w:tcPr>
          <w:p>
            <w:r>
              <w:rPr>
                <w:sz w:val="16"/>
              </w:rPr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sz w:val="16"/>
              </w:rPr>
              <w:t>Clinical validation reported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39.2%</w:t>
            </w:r>
          </w:p>
        </w:tc>
      </w:tr>
      <w:tr>
        <w:tc>
          <w:tcPr>
            <w:tcW w:type="dxa" w:w="4819"/>
            <w:vAlign w:val="center"/>
            <w:shd w:val="clear" w:color="auto" w:fill="EBF5FB"/>
          </w:tcPr>
          <w:p>
            <w:r>
              <w:rPr>
                <w:sz w:val="16"/>
              </w:rPr>
              <w:t>Code publicly available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13.7%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sz w:val="16"/>
              </w:rPr>
              <w:t>Low-field MRI mentioned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29.4%</w:t>
            </w:r>
          </w:p>
        </w:tc>
      </w:tr>
      <w:tr>
        <w:tc>
          <w:tcPr>
            <w:tcW w:type="dxa" w:w="4819"/>
            <w:vAlign w:val="center"/>
            <w:shd w:val="clear" w:color="auto" w:fill="EBF5FB"/>
          </w:tcPr>
          <w:p>
            <w:r>
              <w:rPr>
                <w:sz w:val="16"/>
              </w:rPr>
              <w:t>Resource constraints addressed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70.6%</w:t>
            </w:r>
          </w:p>
        </w:tc>
      </w:tr>
    </w:tbl>
    <w:p/>
    <w:p>
      <w:pPr>
        <w:pStyle w:val="Heading2"/>
      </w:pPr>
      <w:r>
        <w:t>3.2 AI Architecture Landscape</w:t>
      </w:r>
    </w:p>
    <w:p>
      <w:pPr>
        <w:spacing w:after="80"/>
      </w:pPr>
      <w:r>
        <w:rPr>
          <w:i/>
          <w:color w:val="7F7F7F"/>
        </w:rPr>
        <w:t>[CNN 49.0% (25/51), U-Net 23.5% (12/51 — Paper 32 reclassified), Hybrid 11.8%, GAN 9.8%, Transformer 3.9%, Non-AI 2.0%. Hybrid = technique descriptor, not architecture family (David Restrepo comment addressed).]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544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rchitecture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5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E86AB"/>
          <w:sz w:val="17"/>
        </w:rPr>
        <w:t>Figure 2. AI architecture landscape. Panel A: Distribution (CNN=25, U-Net=12, Hybrid=6, GAN=5, Transformer=2, Non-AI=1). Panel B: Architecture × year. †Hybrid = multi-arch combinations. ‡Non-AI = Fourier-based.</w:t>
      </w:r>
    </w:p>
    <w:p/>
    <w:p>
      <w:pPr>
        <w:spacing w:before="160" w:after="40"/>
      </w:pPr>
      <w:r>
        <w:rPr>
          <w:b/>
          <w:sz w:val="18"/>
        </w:rPr>
        <w:t>Table 2. AI architecture summary. n=51. CNN=49.0%, U-Net=23.5% (n=12). Hybrid and Non-AI footnotes in Table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rHeight w:val="397"/>
        </w:trPr>
        <w:tc>
          <w:tcPr>
            <w:tcW w:type="dxa" w:w="1984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Architecture Type</w:t>
            </w:r>
          </w:p>
        </w:tc>
        <w:tc>
          <w:tcPr>
            <w:tcW w:type="dxa" w:w="1134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 Papers</w:t>
            </w:r>
          </w:p>
        </w:tc>
        <w:tc>
          <w:tcPr>
            <w:tcW w:type="dxa" w:w="1134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% of Total</w:t>
            </w:r>
          </w:p>
        </w:tc>
        <w:tc>
          <w:tcPr>
            <w:tcW w:type="dxa" w:w="1417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Median PSNR</w:t>
            </w:r>
          </w:p>
        </w:tc>
        <w:tc>
          <w:tcPr>
            <w:tcW w:type="dxa" w:w="1417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Median SSIM</w:t>
            </w:r>
          </w:p>
        </w:tc>
        <w:tc>
          <w:tcPr>
            <w:tcW w:type="dxa" w:w="1701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Representative Models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6"/>
              </w:rPr>
              <w:t>CNN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49.0%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35.8 dB (n=10)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0.952 (n=8)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DenseNet121, DenseNet161, InceptionResNetV2, InceptionV3, NASNetMobile, Xception; deep learning based AIR Recon DL (DLRecon), a deep convolution neural network; CNN- UNET; sub-pixel CNN (+21 more)</w:t>
            </w:r>
          </w:p>
        </w:tc>
      </w:tr>
      <w:tr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U-Net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21.6%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30.1 dB (n=4)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0.896 (n=5)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CNN-based 3D brain tumor segmentation network with U-Net-like encoder-decoder...; Two conventional U-Net variants for segmentation; CNN-based classifiers for d...; 3D U-Net with perceptual loss; A modified U-Net architecture was employed for both stage1 and 2. The archite... (+7 more)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6"/>
              </w:rPr>
              <w:t>Hybrid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11.8%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27.1 dB (n=1)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0.793 (n=1)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Saliency-based deep learning (SbDL) using AlexNet and Inception V3 with DRLBP...; Multi-path convolutional neural network (CNN) with Multi-class Support Vector...; Pre-trained EfficientNet and ResNet50 feature extractors with PLS-based featu...; multi-scale</w:t>
              <w:br/>
              <w:t>receptive field based feature fusion GAN and pre-trained slice</w:t>
              <w:br/>
              <w:t>in... (+2 more)</w:t>
            </w:r>
          </w:p>
        </w:tc>
      </w:tr>
      <w:tr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GAN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7.8%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36.1 dB (n=3)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0.920 (n=3)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LowGAN (Stage 1: three 2D pix2pix networks; Stage 2: 3D patch-based U-Net); FA-GAN with Local Fusion Feature Block , Global Feature Fusion Block, channel...; LowGAN (three parallel pix2pix layers with U-Net generator and wavelet-Fourie...; WGAN-GP with modified encoder-decoder generator (originally from CT denoising...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3.9%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29.3 dB (n=1)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0.927 (n=1)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U-net</w:t>
            </w:r>
          </w:p>
        </w:tc>
      </w:tr>
      <w:tr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Diffusion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2.0%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24.6 dB (n=1)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0.785 (n=1)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DDPM with optimized U-Net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6"/>
              </w:rPr>
              <w:t>Non-AI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2.0%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N/R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N/R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Combines spatial frequencies from two orthogonal ULF images; replaces the inn...</w:t>
            </w:r>
          </w:p>
        </w:tc>
      </w:tr>
      <w:tr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Transformer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2.0%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N/R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N/R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SMIR: Swin Transformer-based MRI Reconstruction. Two modules: (1) Multi-level...</w:t>
            </w:r>
          </w:p>
        </w:tc>
      </w:tr>
    </w:tbl>
    <w:p/>
    <w:p>
      <w:pPr>
        <w:pStyle w:val="Heading2"/>
      </w:pPr>
      <w:r>
        <w:t>3.3 Performance Metrics and Benchmarking Practices</w:t>
      </w:r>
    </w:p>
    <w:p>
      <w:pPr>
        <w:spacing w:after="80"/>
      </w:pPr>
      <w:r>
        <w:rPr>
          <w:i/>
          <w:color w:val="7F7F7F"/>
        </w:rPr>
        <w:t>[PSNR reported: 39.2% (20/51). SSIM reported: 37.3% (19/51). Reporting bias analysis: reporters vs non-reporters — see Tables 3e–3f.]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5214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erformance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21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E86AB"/>
          <w:sz w:val="17"/>
        </w:rPr>
        <w:t>Figure 4. Performance metric comparison across AI architectures and field strengths.</w:t>
      </w:r>
    </w:p>
    <w:p/>
    <w:p>
      <w:pPr>
        <w:spacing w:before="160" w:after="40"/>
      </w:pPr>
      <w:r>
        <w:rPr>
          <w:b/>
          <w:sz w:val="18"/>
        </w:rPr>
        <w:t>Table 3a. Overall PSNR and SSIM summary across 51 studies.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rHeight w:val="397"/>
        </w:trPr>
        <w:tc>
          <w:tcPr>
            <w:tcW w:type="dxa" w:w="1984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417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 Reporting</w:t>
            </w:r>
          </w:p>
        </w:tc>
        <w:tc>
          <w:tcPr>
            <w:tcW w:type="dxa" w:w="1417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% Reporting</w:t>
            </w:r>
          </w:p>
        </w:tc>
        <w:tc>
          <w:tcPr>
            <w:tcW w:type="dxa" w:w="1417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Median</w:t>
            </w:r>
          </w:p>
        </w:tc>
        <w:tc>
          <w:tcPr>
            <w:tcW w:type="dxa" w:w="1701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Mean (SD)</w:t>
            </w:r>
          </w:p>
        </w:tc>
        <w:tc>
          <w:tcPr>
            <w:tcW w:type="dxa" w:w="1662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Range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6"/>
              </w:rPr>
              <w:t>PSNR (dB)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39.2%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34.20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34.16 (8.42)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21.19–56.60</w:t>
            </w:r>
          </w:p>
        </w:tc>
      </w:tr>
      <w:tr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SSIM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37.3%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0.9130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0.8762 (0.1111)</w:t>
            </w:r>
          </w:p>
        </w:tc>
        <w:tc>
          <w:tcPr>
            <w:tcW w:type="dxa" w:w="1662"/>
            <w:vAlign w:val="center"/>
            <w:shd w:val="clear" w:color="auto" w:fill="EBF5FB"/>
          </w:tcPr>
          <w:p>
            <w:r>
              <w:rPr>
                <w:sz w:val="16"/>
              </w:rPr>
              <w:t>0.5900–0.9966</w:t>
            </w:r>
          </w:p>
        </w:tc>
      </w:tr>
    </w:tbl>
    <w:p/>
    <w:p>
      <w:pPr>
        <w:spacing w:before="160" w:after="40"/>
      </w:pPr>
      <w:r>
        <w:rPr>
          <w:b/>
          <w:sz w:val="18"/>
        </w:rPr>
        <w:t>Table 3b. PSNR by AI architecture (studies reporting PSNR only).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val="397"/>
        </w:trPr>
        <w:tc>
          <w:tcPr>
            <w:tcW w:type="dxa" w:w="1984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Architecture</w:t>
            </w:r>
          </w:p>
        </w:tc>
        <w:tc>
          <w:tcPr>
            <w:tcW w:type="dxa" w:w="1134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984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Median PSNR (dB)</w:t>
            </w:r>
          </w:p>
        </w:tc>
        <w:tc>
          <w:tcPr>
            <w:tcW w:type="dxa" w:w="2268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Range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6"/>
              </w:rPr>
              <w:t>CNN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6"/>
              </w:rPr>
              <w:t>35.80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6"/>
              </w:rPr>
              <w:t>26.50–47.40</w:t>
            </w:r>
          </w:p>
        </w:tc>
      </w:tr>
      <w:tr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U-Net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30.12</w:t>
            </w:r>
          </w:p>
        </w:tc>
        <w:tc>
          <w:tcPr>
            <w:tcW w:type="dxa" w:w="2268"/>
            <w:vAlign w:val="center"/>
            <w:shd w:val="clear" w:color="auto" w:fill="EBF5FB"/>
          </w:tcPr>
          <w:p>
            <w:r>
              <w:rPr>
                <w:sz w:val="16"/>
              </w:rPr>
              <w:t>21.19–37.31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6"/>
              </w:rPr>
              <w:t>Hybrid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6"/>
              </w:rPr>
              <w:t>27.15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6"/>
              </w:rPr>
              <w:t>27.15–27.15</w:t>
            </w:r>
          </w:p>
        </w:tc>
      </w:tr>
      <w:tr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GAN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36.06</w:t>
            </w:r>
          </w:p>
        </w:tc>
        <w:tc>
          <w:tcPr>
            <w:tcW w:type="dxa" w:w="2268"/>
            <w:vAlign w:val="center"/>
            <w:shd w:val="clear" w:color="auto" w:fill="EBF5FB"/>
          </w:tcPr>
          <w:p>
            <w:r>
              <w:rPr>
                <w:sz w:val="16"/>
              </w:rPr>
              <w:t>34.28–56.60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6"/>
              </w:rPr>
              <w:t>29.26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6"/>
              </w:rPr>
              <w:t>29.26–29.26</w:t>
            </w:r>
          </w:p>
        </w:tc>
      </w:tr>
      <w:tr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Diffusion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24.63</w:t>
            </w:r>
          </w:p>
        </w:tc>
        <w:tc>
          <w:tcPr>
            <w:tcW w:type="dxa" w:w="2268"/>
            <w:vAlign w:val="center"/>
            <w:shd w:val="clear" w:color="auto" w:fill="EBF5FB"/>
          </w:tcPr>
          <w:p>
            <w:r>
              <w:rPr>
                <w:sz w:val="16"/>
              </w:rPr>
              <w:t>24.63–24.63</w:t>
            </w:r>
          </w:p>
        </w:tc>
      </w:tr>
    </w:tbl>
    <w:p/>
    <w:p>
      <w:pPr>
        <w:spacing w:before="160" w:after="40"/>
      </w:pPr>
      <w:r>
        <w:rPr>
          <w:b/>
          <w:sz w:val="18"/>
        </w:rPr>
        <w:t>Table 3c. SSIM by AI architecture.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val="397"/>
        </w:trPr>
        <w:tc>
          <w:tcPr>
            <w:tcW w:type="dxa" w:w="1984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Architecture</w:t>
            </w:r>
          </w:p>
        </w:tc>
        <w:tc>
          <w:tcPr>
            <w:tcW w:type="dxa" w:w="1134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701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Median SSIM</w:t>
            </w:r>
          </w:p>
        </w:tc>
        <w:tc>
          <w:tcPr>
            <w:tcW w:type="dxa" w:w="2268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Range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6"/>
              </w:rPr>
              <w:t>CNN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0.9521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6"/>
              </w:rPr>
              <w:t>0.7500–0.9895</w:t>
            </w:r>
          </w:p>
        </w:tc>
      </w:tr>
      <w:tr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U-Net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0.8960</w:t>
            </w:r>
          </w:p>
        </w:tc>
        <w:tc>
          <w:tcPr>
            <w:tcW w:type="dxa" w:w="2268"/>
            <w:vAlign w:val="center"/>
            <w:shd w:val="clear" w:color="auto" w:fill="EBF5FB"/>
          </w:tcPr>
          <w:p>
            <w:r>
              <w:rPr>
                <w:sz w:val="16"/>
              </w:rPr>
              <w:t>0.5900–0.9570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6"/>
              </w:rPr>
              <w:t>Hybrid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0.7930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6"/>
              </w:rPr>
              <w:t>0.7930–0.7930</w:t>
            </w:r>
          </w:p>
        </w:tc>
      </w:tr>
      <w:tr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GAN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0.9200</w:t>
            </w:r>
          </w:p>
        </w:tc>
        <w:tc>
          <w:tcPr>
            <w:tcW w:type="dxa" w:w="2268"/>
            <w:vAlign w:val="center"/>
            <w:shd w:val="clear" w:color="auto" w:fill="EBF5FB"/>
          </w:tcPr>
          <w:p>
            <w:r>
              <w:rPr>
                <w:sz w:val="16"/>
              </w:rPr>
              <w:t>0.8800–0.9966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0.9270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6"/>
              </w:rPr>
              <w:t>0.9270–0.9270</w:t>
            </w:r>
          </w:p>
        </w:tc>
      </w:tr>
      <w:tr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Diffusion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0.7847</w:t>
            </w:r>
          </w:p>
        </w:tc>
        <w:tc>
          <w:tcPr>
            <w:tcW w:type="dxa" w:w="2268"/>
            <w:vAlign w:val="center"/>
            <w:shd w:val="clear" w:color="auto" w:fill="EBF5FB"/>
          </w:tcPr>
          <w:p>
            <w:r>
              <w:rPr>
                <w:sz w:val="16"/>
              </w:rPr>
              <w:t>0.7847–0.7847</w:t>
            </w:r>
          </w:p>
        </w:tc>
      </w:tr>
    </w:tbl>
    <w:p/>
    <w:p>
      <w:pPr>
        <w:spacing w:before="160" w:after="40"/>
      </w:pPr>
      <w:r>
        <w:rPr>
          <w:b/>
          <w:sz w:val="18"/>
        </w:rPr>
        <w:t>Table 3d. PSNR and SSIM by field strength.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rHeight w:val="397"/>
        </w:trPr>
        <w:tc>
          <w:tcPr>
            <w:tcW w:type="dxa" w:w="1701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 Strength</w:t>
            </w:r>
          </w:p>
        </w:tc>
        <w:tc>
          <w:tcPr>
            <w:tcW w:type="dxa" w:w="1134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 Papers</w:t>
            </w:r>
          </w:p>
        </w:tc>
        <w:tc>
          <w:tcPr>
            <w:tcW w:type="dxa" w:w="1417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PSNR Reported</w:t>
            </w:r>
          </w:p>
        </w:tc>
        <w:tc>
          <w:tcPr>
            <w:tcW w:type="dxa" w:w="1701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Median PSNR (dB)</w:t>
            </w:r>
          </w:p>
        </w:tc>
        <w:tc>
          <w:tcPr>
            <w:tcW w:type="dxa" w:w="1417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SSIM Reported</w:t>
            </w:r>
          </w:p>
        </w:tc>
        <w:tc>
          <w:tcPr>
            <w:tcW w:type="dxa" w:w="1701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Median SSIM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Not specified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34.20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0.8524</w:t>
            </w:r>
          </w:p>
        </w:tc>
      </w:tr>
      <w:tr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Standard-field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32.66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0.9165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Low-field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31.11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0.8960</w:t>
            </w:r>
          </w:p>
        </w:tc>
      </w:tr>
      <w:tr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Mixed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41.64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0.9246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High-field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N/R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N/R</w:t>
            </w:r>
          </w:p>
        </w:tc>
      </w:tr>
    </w:tbl>
    <w:p/>
    <w:p>
      <w:pPr>
        <w:spacing w:before="160" w:after="40"/>
      </w:pPr>
      <w:r>
        <w:rPr>
          <w:b/>
          <w:sz w:val="18"/>
        </w:rPr>
        <w:t>Table 3e [NEW]. PSNR reporting bias: reporters vs non-reporters. Tests whether reporting is selective. (Leo comment #1 — reporting bias / selective metric disclosure)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rHeight w:val="397"/>
        </w:trPr>
        <w:tc>
          <w:tcPr>
            <w:tcW w:type="dxa" w:w="1701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Group</w:t>
            </w:r>
          </w:p>
        </w:tc>
        <w:tc>
          <w:tcPr>
            <w:tcW w:type="dxa" w:w="850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134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Median_Year</w:t>
            </w:r>
          </w:p>
        </w:tc>
        <w:tc>
          <w:tcPr>
            <w:tcW w:type="dxa" w:w="1701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Top_Architecture</w:t>
            </w:r>
          </w:p>
        </w:tc>
        <w:tc>
          <w:tcPr>
            <w:tcW w:type="dxa" w:w="1701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Top_Field_Strength</w:t>
            </w:r>
          </w:p>
        </w:tc>
        <w:tc>
          <w:tcPr>
            <w:tcW w:type="dxa" w:w="1417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Median_LMIC_Score</w:t>
            </w:r>
          </w:p>
        </w:tc>
        <w:tc>
          <w:tcPr>
            <w:tcW w:type="dxa" w:w="1417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Clinical_Validation_pct</w:t>
            </w:r>
          </w:p>
        </w:tc>
        <w:tc>
          <w:tcPr>
            <w:tcW w:type="dxa" w:w="1417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Low_Field_pct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PSNR Reporter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2021 (2020–2025)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CNN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Not specified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20.0%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40.0%</w:t>
            </w:r>
          </w:p>
        </w:tc>
      </w:tr>
      <w:tr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PSNR Non-Reporter</w:t>
            </w:r>
          </w:p>
        </w:tc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2023 (2020–2025)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CNN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Not specified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51.6%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22.6%</w:t>
            </w:r>
          </w:p>
        </w:tc>
      </w:tr>
    </w:tbl>
    <w:p/>
    <w:p>
      <w:pPr>
        <w:spacing w:before="160" w:after="40"/>
      </w:pPr>
      <w:r>
        <w:rPr>
          <w:b/>
          <w:sz w:val="18"/>
        </w:rPr>
        <w:t>Table 3f [NEW]. SSIM reporting bias: reporters vs non-reporters.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rHeight w:val="397"/>
        </w:trPr>
        <w:tc>
          <w:tcPr>
            <w:tcW w:type="dxa" w:w="1701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Group</w:t>
            </w:r>
          </w:p>
        </w:tc>
        <w:tc>
          <w:tcPr>
            <w:tcW w:type="dxa" w:w="850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134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Median_Year</w:t>
            </w:r>
          </w:p>
        </w:tc>
        <w:tc>
          <w:tcPr>
            <w:tcW w:type="dxa" w:w="1701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Top_Architecture</w:t>
            </w:r>
          </w:p>
        </w:tc>
        <w:tc>
          <w:tcPr>
            <w:tcW w:type="dxa" w:w="1701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Top_Field_Strength</w:t>
            </w:r>
          </w:p>
        </w:tc>
        <w:tc>
          <w:tcPr>
            <w:tcW w:type="dxa" w:w="1417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Median_LMIC_Score</w:t>
            </w:r>
          </w:p>
        </w:tc>
        <w:tc>
          <w:tcPr>
            <w:tcW w:type="dxa" w:w="1417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Clinical_Validation_pct</w:t>
            </w:r>
          </w:p>
        </w:tc>
        <w:tc>
          <w:tcPr>
            <w:tcW w:type="dxa" w:w="1417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Low_Field_pct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6"/>
              </w:rPr>
              <w:t>SSIM Reporter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2022 (2020–2025)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CNN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Standard-field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26.3%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42.1%</w:t>
            </w:r>
          </w:p>
        </w:tc>
      </w:tr>
      <w:tr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SSIM Non-Reporter</w:t>
            </w:r>
          </w:p>
        </w:tc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2023 (2020–2025)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CNN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Not specified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46.9%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21.9%</w:t>
            </w:r>
          </w:p>
        </w:tc>
      </w:tr>
    </w:tbl>
    <w:p/>
    <w:p>
      <w:pPr>
        <w:pStyle w:val="Heading2"/>
      </w:pPr>
      <w:r>
        <w:t>3.4 LMIC Applicability and Translational Readiness</w:t>
      </w:r>
    </w:p>
    <w:p>
      <w:pPr>
        <w:spacing w:after="80"/>
      </w:pPr>
      <w:r>
        <w:rPr>
          <w:i/>
          <w:color w:val="7F7F7F"/>
        </w:rPr>
        <w:t>[High-LMIC (≥4): 15 studies (29.4%). Low-field: 15 studies (29.4%). Code available: 9 (17.6%). Clinically validated: 10 (19.6%).]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3497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lmic_relev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49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E86AB"/>
          <w:sz w:val="17"/>
        </w:rPr>
        <w:t>Figure 3. LMIC relevance analysis. Panel A: Score distribution (1–5). Panel B: LMIC indicators across 51 studies.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285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field_strength_applic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2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E86AB"/>
          <w:sz w:val="17"/>
        </w:rPr>
        <w:t>Figure 5. Field strength × application area. Panel A: Heatmap (application × field strength). Panel B: Application areas ranked by LMIC score. Low-field n=15 (29.4%).</w:t>
      </w:r>
    </w:p>
    <w:p/>
    <w:p>
      <w:pPr>
        <w:spacing w:before="160" w:after="40"/>
      </w:pPr>
      <w:r>
        <w:rPr>
          <w:b/>
          <w:sz w:val="18"/>
        </w:rPr>
        <w:t>Table 4a. LMIC relevance score distribution (1=low, 5=high) across 51 studies.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rHeight w:val="397"/>
        </w:trPr>
        <w:tc>
          <w:tcPr>
            <w:tcW w:type="dxa" w:w="1417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LMIC Score</w:t>
            </w:r>
          </w:p>
        </w:tc>
        <w:tc>
          <w:tcPr>
            <w:tcW w:type="dxa" w:w="1134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 Papers</w:t>
            </w:r>
          </w:p>
        </w:tc>
        <w:tc>
          <w:tcPr>
            <w:tcW w:type="dxa" w:w="1134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% of Total</w:t>
            </w:r>
          </w:p>
        </w:tc>
        <w:tc>
          <w:tcPr>
            <w:tcW w:type="dxa" w:w="1134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Low-Field</w:t>
            </w:r>
          </w:p>
        </w:tc>
        <w:tc>
          <w:tcPr>
            <w:tcW w:type="dxa" w:w="1701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Resource Addressed</w:t>
            </w:r>
          </w:p>
        </w:tc>
        <w:tc>
          <w:tcPr>
            <w:tcW w:type="dxa" w:w="1701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Code Available</w:t>
            </w:r>
          </w:p>
        </w:tc>
        <w:tc>
          <w:tcPr>
            <w:tcW w:type="dxa" w:w="1701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Clinically Validated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6"/>
              </w:rPr>
              <w:t>Score 5 (Direct LMIC application)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7.8%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Score 4 (High relevance)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29.4%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6"/>
              </w:rPr>
              <w:t>Score 3 (Moderate relevance)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41.2%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Score 2 (Low relevance)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17.6%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6"/>
              </w:rPr>
              <w:t>Score 1 (Minimal relevance)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2.0%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Not scored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2.0%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160" w:after="40"/>
      </w:pPr>
      <w:r>
        <w:rPr>
          <w:b/>
          <w:sz w:val="18"/>
        </w:rPr>
        <w:t>Table 4b. LMIC applicability indicators.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val="397"/>
        </w:trPr>
        <w:tc>
          <w:tcPr>
            <w:tcW w:type="dxa" w:w="2835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Indicator</w:t>
            </w:r>
          </w:p>
        </w:tc>
        <w:tc>
          <w:tcPr>
            <w:tcW w:type="dxa" w:w="1417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417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%</w:t>
            </w:r>
          </w:p>
        </w:tc>
        <w:tc>
          <w:tcPr>
            <w:tcW w:type="dxa" w:w="1701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Median LMIC Score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6"/>
              </w:rPr>
              <w:t>Low-field MRI mentioned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29.4%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2835"/>
            <w:vAlign w:val="center"/>
            <w:shd w:val="clear" w:color="auto" w:fill="EBF5FB"/>
          </w:tcPr>
          <w:p>
            <w:r>
              <w:rPr>
                <w:sz w:val="16"/>
              </w:rPr>
              <w:t>Resource constraints addressed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70.6%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6"/>
              </w:rPr>
              <w:t>Code publicly available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13.7%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2835"/>
            <w:vAlign w:val="center"/>
            <w:shd w:val="clear" w:color="auto" w:fill="EBF5FB"/>
          </w:tcPr>
          <w:p>
            <w:r>
              <w:rPr>
                <w:sz w:val="16"/>
              </w:rPr>
              <w:t>Clinical validation reported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39.2%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6"/>
              </w:rPr>
              <w:t>High LMIC relevance (Score 4-5)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37.3%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4</w:t>
            </w:r>
          </w:p>
        </w:tc>
      </w:tr>
    </w:tbl>
    <w:p/>
    <w:p>
      <w:pPr>
        <w:spacing w:before="160" w:after="40"/>
      </w:pPr>
      <w:r>
        <w:rPr>
          <w:b/>
          <w:sz w:val="18"/>
        </w:rPr>
        <w:t>Table 4c. Architecture breakdown among high-LMIC studies (score ≥ 4).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397"/>
        </w:trPr>
        <w:tc>
          <w:tcPr>
            <w:tcW w:type="dxa" w:w="2268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Architecture</w:t>
            </w:r>
          </w:p>
        </w:tc>
        <w:tc>
          <w:tcPr>
            <w:tcW w:type="dxa" w:w="1701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 (Score 4-5)</w:t>
            </w:r>
          </w:p>
        </w:tc>
        <w:tc>
          <w:tcPr>
            <w:tcW w:type="dxa" w:w="1701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% of High-LMIC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6"/>
              </w:rPr>
              <w:t>CNN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52.6%</w:t>
            </w:r>
          </w:p>
        </w:tc>
      </w:tr>
      <w:tr>
        <w:tc>
          <w:tcPr>
            <w:tcW w:type="dxa" w:w="2268"/>
            <w:vAlign w:val="center"/>
            <w:shd w:val="clear" w:color="auto" w:fill="EBF5FB"/>
          </w:tcPr>
          <w:p>
            <w:r>
              <w:rPr>
                <w:sz w:val="16"/>
              </w:rPr>
              <w:t>U-Net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21.1%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6"/>
              </w:rPr>
              <w:t>GAN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10.5%</w:t>
            </w:r>
          </w:p>
        </w:tc>
      </w:tr>
      <w:tr>
        <w:tc>
          <w:tcPr>
            <w:tcW w:type="dxa" w:w="2268"/>
            <w:vAlign w:val="center"/>
            <w:shd w:val="clear" w:color="auto" w:fill="EBF5FB"/>
          </w:tcPr>
          <w:p>
            <w:r>
              <w:rPr>
                <w:sz w:val="16"/>
              </w:rPr>
              <w:t>Hybrid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5.3%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5.3%</w:t>
            </w:r>
          </w:p>
        </w:tc>
      </w:tr>
      <w:tr>
        <w:tc>
          <w:tcPr>
            <w:tcW w:type="dxa" w:w="2268"/>
            <w:vAlign w:val="center"/>
            <w:shd w:val="clear" w:color="auto" w:fill="EBF5FB"/>
          </w:tcPr>
          <w:p>
            <w:r>
              <w:rPr>
                <w:sz w:val="16"/>
              </w:rPr>
              <w:t>Non-AI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5.3%</w:t>
            </w:r>
          </w:p>
        </w:tc>
      </w:tr>
    </w:tbl>
    <w:p/>
    <w:p>
      <w:pPr>
        <w:spacing w:before="160" w:after="40"/>
      </w:pPr>
      <w:r>
        <w:rPr>
          <w:b/>
          <w:sz w:val="18"/>
        </w:rPr>
        <w:t>Table 4d [NEW]. Edge deployment candidates. 37/51 potential (72.5%); 7 meet inference-time threshold (&lt;5s CPU); 0 report model size &lt;100 MB. (Leo comment #4 — edge deployment)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397"/>
        </w:trPr>
        <w:tc>
          <w:tcPr>
            <w:tcW w:type="dxa" w:w="3969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Indicator</w:t>
            </w:r>
          </w:p>
        </w:tc>
        <w:tc>
          <w:tcPr>
            <w:tcW w:type="dxa" w:w="1417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417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% of Total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sz w:val="16"/>
              </w:rPr>
              <w:t>Edge deployment candidates (any criterion)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72.5%</w:t>
            </w:r>
          </w:p>
        </w:tc>
      </w:tr>
      <w:tr>
        <w:tc>
          <w:tcPr>
            <w:tcW w:type="dxa" w:w="3969"/>
            <w:vAlign w:val="center"/>
            <w:shd w:val="clear" w:color="auto" w:fill="EBF5FB"/>
          </w:tcPr>
          <w:p>
            <w:r>
              <w:rPr>
                <w:sz w:val="16"/>
              </w:rPr>
              <w:t xml:space="preserve">  Meets model size threshold (&lt;100 MB)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sz w:val="16"/>
              </w:rPr>
              <w:t xml:space="preserve">  Meets inference time threshold (&lt;5s CPU)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13.7%</w:t>
            </w:r>
          </w:p>
        </w:tc>
      </w:tr>
      <w:tr>
        <w:tc>
          <w:tcPr>
            <w:tcW w:type="dxa" w:w="3969"/>
            <w:vAlign w:val="center"/>
            <w:shd w:val="clear" w:color="auto" w:fill="EBF5FB"/>
          </w:tcPr>
          <w:p>
            <w:r>
              <w:rPr>
                <w:sz w:val="16"/>
              </w:rPr>
              <w:t xml:space="preserve">  Addresses resource constraints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70.6%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sz w:val="16"/>
              </w:rPr>
              <w:t>Edge candidates with High LMIC (Score 4-5)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33.3%</w:t>
            </w:r>
          </w:p>
        </w:tc>
      </w:tr>
    </w:tbl>
    <w:p/>
    <w:p>
      <w:pPr>
        <w:pStyle w:val="Heading2"/>
      </w:pPr>
      <w:r>
        <w:t>3.5 Cross-Field Generalization</w:t>
      </w:r>
    </w:p>
    <w:p>
      <w:pPr>
        <w:spacing w:after="80"/>
      </w:pPr>
      <w:r>
        <w:rPr>
          <w:i/>
          <w:color w:val="7F7F7F"/>
        </w:rPr>
        <w:t>[Only 2/51 studies tested true cross-field generalization (low↔high). Major gap identified. (Leo comment #3)]</w:t>
      </w:r>
    </w:p>
    <w:p>
      <w:pPr>
        <w:spacing w:before="160" w:after="40"/>
      </w:pPr>
      <w:r>
        <w:rPr>
          <w:b/>
          <w:sz w:val="18"/>
        </w:rPr>
        <w:t>Supplementary Table A [NEW]. Cross-field generalization classification (True cross-field, Multi-scanner standard, Single field strength). n=30 studies with field strength recorded.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rHeight w:val="397"/>
        </w:trPr>
        <w:tc>
          <w:tcPr>
            <w:tcW w:type="dxa" w:w="850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Paper_ID</w:t>
            </w:r>
          </w:p>
        </w:tc>
        <w:tc>
          <w:tcPr>
            <w:tcW w:type="dxa" w:w="2835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Title</w:t>
            </w:r>
          </w:p>
        </w:tc>
        <w:tc>
          <w:tcPr>
            <w:tcW w:type="dxa" w:w="850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Year</w:t>
            </w:r>
          </w:p>
        </w:tc>
        <w:tc>
          <w:tcPr>
            <w:tcW w:type="dxa" w:w="1417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Architecture_Norm</w:t>
            </w:r>
          </w:p>
        </w:tc>
        <w:tc>
          <w:tcPr>
            <w:tcW w:type="dxa" w:w="1417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Field_Strength_Norm</w:t>
            </w:r>
          </w:p>
        </w:tc>
        <w:tc>
          <w:tcPr>
            <w:tcW w:type="dxa" w:w="1134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LMIC_Score</w:t>
            </w:r>
          </w:p>
        </w:tc>
        <w:tc>
          <w:tcPr>
            <w:tcW w:type="dxa" w:w="1984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Field_Category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Deep-learning approach with convolutional neural network for classification of maximum intensity projections of dynamic contrast-enhanced breast magnetic resonance imaging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6"/>
              </w:rPr>
              <w:t>2021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CNN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Standard-field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6"/>
              </w:rPr>
              <w:t>Multi-scanner standard</w:t>
            </w:r>
          </w:p>
        </w:tc>
      </w:tr>
      <w:tr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835"/>
            <w:vAlign w:val="center"/>
            <w:shd w:val="clear" w:color="auto" w:fill="EBF5FB"/>
          </w:tcPr>
          <w:p>
            <w:r>
              <w:rPr>
                <w:sz w:val="16"/>
              </w:rPr>
              <w:t>Improvement of peripheral nerve visualization using a deep learning-based MR reconstruction algorithm</w:t>
            </w:r>
          </w:p>
        </w:tc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2022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CNN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Standard-field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Multi-scanner standard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Automatic deep learning-based myocardial infarction segmentation from delayed enhancement MRI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6"/>
              </w:rPr>
              <w:t>2022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CNN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Standard-field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6"/>
              </w:rPr>
              <w:t>Multi-scanner standard</w:t>
            </w:r>
          </w:p>
        </w:tc>
      </w:tr>
      <w:tr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835"/>
            <w:vAlign w:val="center"/>
            <w:shd w:val="clear" w:color="auto" w:fill="EBF5FB"/>
          </w:tcPr>
          <w:p>
            <w:r>
              <w:rPr>
                <w:sz w:val="16"/>
              </w:rPr>
              <w:t>Deep learning-based super-resolution gradient echo imaging of the pancreas: Improvement of image quality and reduction of acquisition time</w:t>
            </w:r>
          </w:p>
        </w:tc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2023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CNN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Standard-field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Multi-scanner standard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Multi-contrast high-field quality image synthesis for portable low-field MRI using generative adversarial networks and paired data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6"/>
              </w:rPr>
              <w:t>2023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GAN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Mixed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6"/>
              </w:rPr>
              <w:t>True cross-field</w:t>
            </w:r>
          </w:p>
        </w:tc>
      </w:tr>
      <w:tr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835"/>
            <w:vAlign w:val="center"/>
            <w:shd w:val="clear" w:color="auto" w:fill="EBF5FB"/>
          </w:tcPr>
          <w:p>
            <w:r>
              <w:rPr>
                <w:sz w:val="16"/>
              </w:rPr>
              <w:t>Fine-tuning deep learning model parameters for improved super-resolution of dynamic MRI with prior-knowledge</w:t>
            </w:r>
          </w:p>
        </w:tc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2021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U-Net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Standard-field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Multi-scanner standard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Deep learning super-resolution reconstruction for fast and high-quality cine cardiovascular magnetic resonance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6"/>
              </w:rPr>
              <w:t>2025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CNN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Standard-field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6"/>
              </w:rPr>
              <w:t>Multi-scanner standard</w:t>
            </w:r>
          </w:p>
        </w:tc>
      </w:tr>
      <w:tr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835"/>
            <w:vAlign w:val="center"/>
            <w:shd w:val="clear" w:color="auto" w:fill="EBF5FB"/>
          </w:tcPr>
          <w:p>
            <w:r>
              <w:rPr>
                <w:sz w:val="16"/>
              </w:rPr>
              <w:t>Cerebrovascular super-resolution 4D Flow MRI - Sequential combination of resolution enhancement by deep learning and physics-informed image processing to non-invasively quantify intracranial velocity, flow, and relative pressure</w:t>
            </w:r>
          </w:p>
        </w:tc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2023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CNN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Standard-field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Multi-scanner standard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Deep Learning-based Method for Denoising and Image Enhancement in Low-Field MRI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6"/>
              </w:rPr>
              <w:t>2024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U-Net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Low-field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6"/>
              </w:rPr>
              <w:t>True cross-field</w:t>
            </w:r>
          </w:p>
        </w:tc>
      </w:tr>
      <w:tr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835"/>
            <w:vAlign w:val="center"/>
            <w:shd w:val="clear" w:color="auto" w:fill="EBF5FB"/>
          </w:tcPr>
          <w:p>
            <w:r>
              <w:rPr>
                <w:sz w:val="16"/>
              </w:rPr>
              <w:t>Digital Image Enhancement using Conventional Neural Network</w:t>
            </w:r>
          </w:p>
        </w:tc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2023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CNN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Mixed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True cross-field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Deep learning‑based single image super‑resolution for low‑field MR brain images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6"/>
              </w:rPr>
              <w:t>2022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CNN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Low-field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6"/>
              </w:rPr>
              <w:t>True cross-field</w:t>
            </w:r>
          </w:p>
        </w:tc>
      </w:tr>
      <w:tr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835"/>
            <w:vAlign w:val="center"/>
            <w:shd w:val="clear" w:color="auto" w:fill="EBF5FB"/>
          </w:tcPr>
          <w:p>
            <w:r>
              <w:rPr>
                <w:sz w:val="16"/>
              </w:rPr>
              <w:t>Pushing the limits of low-cost ultra-low-field MRI by dual-acquisition deep learning 3D superresolution</w:t>
            </w:r>
          </w:p>
        </w:tc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2023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Hybrid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Low-field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5.0</w:t>
            </w:r>
          </w:p>
        </w:tc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True cross-field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Joint B0B0​ and Image Reconstruction in Low-Field MRI by Physics-Informed Deep-Learning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6"/>
              </w:rPr>
              <w:t>2024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U-Net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Low-field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6"/>
              </w:rPr>
              <w:t>True cross-field</w:t>
            </w:r>
          </w:p>
        </w:tc>
      </w:tr>
      <w:tr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835"/>
            <w:vAlign w:val="center"/>
            <w:shd w:val="clear" w:color="auto" w:fill="EBF5FB"/>
          </w:tcPr>
          <w:p>
            <w:r>
              <w:rPr>
                <w:sz w:val="16"/>
              </w:rPr>
              <w:t>Deep learning myocardial infarction segmentation framework from cardiac magnetic resonance images</w:t>
            </w:r>
          </w:p>
        </w:tc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2024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U-Net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Standard-field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Multi-scanner standard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ShuffleUNet: Super resolution of diffusion-weighted MRIs using deep learning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6"/>
              </w:rPr>
              <w:t>2021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U-Net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Standard-field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6"/>
              </w:rPr>
              <w:t>Multi-scanner standard</w:t>
            </w:r>
          </w:p>
        </w:tc>
      </w:tr>
      <w:tr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835"/>
            <w:vAlign w:val="center"/>
            <w:shd w:val="clear" w:color="auto" w:fill="EBF5FB"/>
          </w:tcPr>
          <w:p>
            <w:r>
              <w:rPr>
                <w:sz w:val="16"/>
              </w:rPr>
              <w:t>Transfer learning in deep neural network based under-sampled MR image reconstruction</w:t>
            </w:r>
          </w:p>
        </w:tc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2021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Standard-field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Multi-scanner standard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Enhancement of Image Quality in Low-Field Knee MR Imaging Using Deep Learning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6"/>
              </w:rPr>
              <w:t>2024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U-Net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Low-field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6"/>
              </w:rPr>
              <w:t>True cross-field</w:t>
            </w:r>
          </w:p>
        </w:tc>
      </w:tr>
      <w:tr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2835"/>
            <w:vAlign w:val="center"/>
            <w:shd w:val="clear" w:color="auto" w:fill="EBF5FB"/>
          </w:tcPr>
          <w:p>
            <w:r>
              <w:rPr>
                <w:sz w:val="16"/>
              </w:rPr>
              <w:t>Multisequence 3-T Image Synthesis from 64-mT Low-Field-Strength MRI Using Generative Adversarial Networks in Multiple Sclerosis</w:t>
            </w:r>
          </w:p>
        </w:tc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2025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GAN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Mixed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True cross-field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Evaluation of epilepsy lesion visualisation enhancement in low-field MRI using image quality transfer: a preliminary investigation of clinical potential for applications in developing countries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6"/>
              </w:rPr>
              <w:t>2024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U-Net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Mixed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5.0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6"/>
              </w:rPr>
              <w:t>True cross-field</w:t>
            </w:r>
          </w:p>
        </w:tc>
      </w:tr>
      <w:tr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2835"/>
            <w:vAlign w:val="center"/>
            <w:shd w:val="clear" w:color="auto" w:fill="EBF5FB"/>
          </w:tcPr>
          <w:p>
            <w:r>
              <w:rPr>
                <w:sz w:val="16"/>
              </w:rPr>
              <w:t>Deep learning-based single image super-resolution for low-field MR brain images</w:t>
            </w:r>
          </w:p>
        </w:tc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2022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CNN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Low-field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5.0</w:t>
            </w:r>
          </w:p>
        </w:tc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True cross-field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Deep learning for fast low-field MRI acquisitions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6"/>
              </w:rPr>
              <w:t>2022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U-Net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Low-field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5.0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6"/>
              </w:rPr>
              <w:t>True cross-field</w:t>
            </w:r>
          </w:p>
        </w:tc>
      </w:tr>
      <w:tr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2835"/>
            <w:vAlign w:val="center"/>
            <w:shd w:val="clear" w:color="auto" w:fill="EBF5FB"/>
          </w:tcPr>
          <w:p>
            <w:r>
              <w:rPr>
                <w:sz w:val="16"/>
              </w:rPr>
              <w:t>Super resolution using sparse sampling at portable ultra-low field MR</w:t>
            </w:r>
          </w:p>
        </w:tc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2024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Non-AI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Low-field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True cross-field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Bridging the gap: improving correspondence between low-field and high-field magnetic resonance images in young people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6"/>
              </w:rPr>
              <w:t>2024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CNN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Low-field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6"/>
              </w:rPr>
              <w:t>True cross-field</w:t>
            </w:r>
          </w:p>
        </w:tc>
      </w:tr>
      <w:tr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2835"/>
            <w:vAlign w:val="center"/>
            <w:shd w:val="clear" w:color="auto" w:fill="EBF5FB"/>
          </w:tcPr>
          <w:p>
            <w:r>
              <w:rPr>
                <w:sz w:val="16"/>
              </w:rPr>
              <w:t>MRI Super-Resolution With Ensemble Learning and Complementary Priors</w:t>
            </w:r>
          </w:p>
        </w:tc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2020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GAN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Standard-field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Multi-scanner standard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SMORE: A Self-Supervised Anti-Aliasing and Super-Resolution Algorithm for MRI Using Deep Learning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6"/>
              </w:rPr>
              <w:t>2021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CNN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Standard-field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6"/>
              </w:rPr>
              <w:t>Multi-scanner standard</w:t>
            </w:r>
          </w:p>
        </w:tc>
      </w:tr>
      <w:tr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2835"/>
            <w:vAlign w:val="center"/>
            <w:shd w:val="clear" w:color="auto" w:fill="EBF5FB"/>
          </w:tcPr>
          <w:p>
            <w:r>
              <w:rPr>
                <w:sz w:val="16"/>
              </w:rPr>
              <w:t>SMIR: A Transformer-Based Model for MRI super-resolution reconstruction</w:t>
            </w:r>
          </w:p>
        </w:tc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2021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Transformer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Standard-field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Multi-scanner standard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Autoencoder-Inspired Convolutional Network-Based Super-Resolution Method in MRI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6"/>
              </w:rPr>
              <w:t>2021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CNN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Low-field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6"/>
              </w:rPr>
              <w:t>True cross-field</w:t>
            </w:r>
          </w:p>
        </w:tc>
      </w:tr>
      <w:tr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2835"/>
            <w:vAlign w:val="center"/>
            <w:shd w:val="clear" w:color="auto" w:fill="EBF5FB"/>
          </w:tcPr>
          <w:p>
            <w:r>
              <w:rPr>
                <w:sz w:val="16"/>
              </w:rPr>
              <w:t>A deep convolutional neural network based computer aided diagnosis system for the prediction of Alzheimer's disease in MRI images</w:t>
            </w:r>
          </w:p>
        </w:tc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2021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CNN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Standard-field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Multi-scanner standard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6"/>
              </w:rPr>
              <w:t>Automatic myocardial segmentation in dynamic contrast enhanced perfusion MRI using Monte Carlo dropout in an encoder-decoder convolutional neural network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6"/>
              </w:rPr>
              <w:t>2020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U-Net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Standard-field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6"/>
              </w:rPr>
              <w:t>Multi-scanner standard</w:t>
            </w:r>
          </w:p>
        </w:tc>
      </w:tr>
    </w:tbl>
    <w:p/>
    <w:p>
      <w:pPr>
        <w:pStyle w:val="Heading2"/>
      </w:pPr>
      <w:r>
        <w:t>3.6 Inter-Rater Reliability and Reviewer Bias</w:t>
      </w:r>
    </w:p>
    <w:p>
      <w:pPr>
        <w:spacing w:after="80"/>
      </w:pPr>
      <w:r>
        <w:rPr>
          <w:i/>
          <w:color w:val="7F7F7F"/>
        </w:rPr>
        <w:t>[Traditional IRR not possible: each paper scored by one reviewer. Reviewer bias proxy computed as systematic offset from grand mean. 10/50 papers change LMIC tier after bias correction. 10-paper calibration set recommended. (Leo comment #2)]</w:t>
      </w:r>
    </w:p>
    <w:p>
      <w:pPr>
        <w:spacing w:before="160" w:after="40"/>
      </w:pPr>
      <w:r>
        <w:rPr>
          <w:b/>
          <w:sz w:val="18"/>
        </w:rPr>
        <w:t>Supplementary Table B [NEW]. Reviewer bias summary: mean LMIC score per reviewer, offset from grand mean, flag for high bias (|offset| &gt; 0.5).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rHeight w:val="397"/>
        </w:trPr>
        <w:tc>
          <w:tcPr>
            <w:tcW w:type="dxa" w:w="1984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Reviewer_Name</w:t>
            </w:r>
          </w:p>
        </w:tc>
        <w:tc>
          <w:tcPr>
            <w:tcW w:type="dxa" w:w="1134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n_papers</w:t>
            </w:r>
          </w:p>
        </w:tc>
        <w:tc>
          <w:tcPr>
            <w:tcW w:type="dxa" w:w="1134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mean_lmic</w:t>
            </w:r>
          </w:p>
        </w:tc>
        <w:tc>
          <w:tcPr>
            <w:tcW w:type="dxa" w:w="1134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median_lmic</w:t>
            </w:r>
          </w:p>
        </w:tc>
        <w:tc>
          <w:tcPr>
            <w:tcW w:type="dxa" w:w="1134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std_lmic</w:t>
            </w:r>
          </w:p>
        </w:tc>
        <w:tc>
          <w:tcPr>
            <w:tcW w:type="dxa" w:w="1701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bias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6"/>
              </w:rPr>
              <w:t>Leo Kinyera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0.816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0.76</w:t>
            </w:r>
          </w:p>
        </w:tc>
      </w:tr>
      <w:tr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Nankya Joanitah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3.75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3.5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0.957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0.51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6"/>
              </w:rPr>
              <w:t>Amir Deghatipour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3.571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0.787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0.331</w:t>
            </w:r>
          </w:p>
        </w:tc>
      </w:tr>
      <w:tr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Matheus Botto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3.5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3.5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1.049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0.26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6"/>
              </w:rPr>
              <w:t>Isaac Mateo Gavilanes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3.25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3.5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0.957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Emmanuel Paul Kwesiga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3.2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0.447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-0.04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6"/>
              </w:rPr>
              <w:t>Luis Nakayama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3.167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0.408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-0.073</w:t>
            </w:r>
          </w:p>
        </w:tc>
      </w:tr>
      <w:tr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Ernest Namdar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-0.24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6"/>
              </w:rPr>
              <w:t>Sebastian Cajas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2.75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2.5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1.035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-0.49</w:t>
            </w:r>
          </w:p>
        </w:tc>
      </w:tr>
      <w:tr>
        <w:tc>
          <w:tcPr>
            <w:tcW w:type="dxa" w:w="1984"/>
            <w:vAlign w:val="center"/>
            <w:shd w:val="clear" w:color="auto" w:fill="EBF5FB"/>
          </w:tcPr>
          <w:p>
            <w:r>
              <w:rPr>
                <w:sz w:val="16"/>
              </w:rPr>
              <w:t>David Restrepo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1.414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-1.24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6"/>
              </w:rPr>
              <w:t>Martha Nakitanda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-1.24</w:t>
            </w:r>
          </w:p>
        </w:tc>
      </w:tr>
    </w:tbl>
    <w:p/>
    <w:p>
      <w:pPr>
        <w:spacing w:before="160" w:after="40"/>
      </w:pPr>
      <w:r>
        <w:rPr>
          <w:b/>
          <w:sz w:val="18"/>
        </w:rPr>
        <w:t>Supplementary Table C [NEW]. Bias-corrected LMIC scores (first 20 of 50 papers shown). 10/50 papers change classification tier after correction.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rHeight w:val="397"/>
        </w:trPr>
        <w:tc>
          <w:tcPr>
            <w:tcW w:type="dxa" w:w="850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Paper_ID</w:t>
            </w:r>
          </w:p>
        </w:tc>
        <w:tc>
          <w:tcPr>
            <w:tcW w:type="dxa" w:w="2551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Title</w:t>
            </w:r>
          </w:p>
        </w:tc>
        <w:tc>
          <w:tcPr>
            <w:tcW w:type="dxa" w:w="1417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Reviewer_Name</w:t>
            </w:r>
          </w:p>
        </w:tc>
        <w:tc>
          <w:tcPr>
            <w:tcW w:type="dxa" w:w="1134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LMIC_Score</w:t>
            </w:r>
          </w:p>
        </w:tc>
        <w:tc>
          <w:tcPr>
            <w:tcW w:type="dxa" w:w="1417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lmic_score_adjusted</w:t>
            </w:r>
          </w:p>
        </w:tc>
        <w:tc>
          <w:tcPr>
            <w:tcW w:type="dxa" w:w="1417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classification_raw</w:t>
            </w:r>
          </w:p>
        </w:tc>
        <w:tc>
          <w:tcPr>
            <w:tcW w:type="dxa" w:w="1417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classification_adjusted</w:t>
            </w:r>
          </w:p>
        </w:tc>
        <w:tc>
          <w:tcPr>
            <w:tcW w:type="dxa" w:w="1417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classification_changed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6"/>
              </w:rPr>
              <w:t>Active deep neural network features selection for segmentation and recognition of brain tumors using MRI images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Sebastian Cajas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2.5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1"/>
            <w:vAlign w:val="center"/>
            <w:shd w:val="clear" w:color="auto" w:fill="EBF5FB"/>
          </w:tcPr>
          <w:p>
            <w:r>
              <w:rPr>
                <w:sz w:val="16"/>
              </w:rPr>
              <w:t>Brain tumor segmentation in MRI with multi-modality spatial information enhancement and boundary shape correction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Sebastian Cajas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2.5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6"/>
              </w:rPr>
              <w:t>Deep-learning approach with convolutional neural network for classification of maximum intensity projections of dynamic contrast-enhanced breast magnetic resonance imaging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Sebastian Cajas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3.5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1"/>
            <w:vAlign w:val="center"/>
            <w:shd w:val="clear" w:color="auto" w:fill="EBF5FB"/>
          </w:tcPr>
          <w:p>
            <w:r>
              <w:rPr>
                <w:sz w:val="16"/>
              </w:rPr>
              <w:t>Improvement of peripheral nerve visualization using a deep learning-based MR reconstruction algorithm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Sebastian Cajas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2.5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6"/>
              </w:rPr>
              <w:t>Enhancement of brain tumor classification from MRI images using multi-path convolutional neural network with SVM classifier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Sebastian Cajas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3.5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51"/>
            <w:vAlign w:val="center"/>
            <w:shd w:val="clear" w:color="auto" w:fill="EBF5FB"/>
          </w:tcPr>
          <w:p>
            <w:r>
              <w:rPr>
                <w:sz w:val="16"/>
              </w:rPr>
              <w:t>A deep learning approach for brain tumor classification using MRI images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Sebastian Cajas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3.5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6"/>
              </w:rPr>
              <w:t>Automatic deep learning-based myocardial infarction segmentation from delayed enhancement MRI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Martha Nakitanda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51"/>
            <w:vAlign w:val="center"/>
            <w:shd w:val="clear" w:color="auto" w:fill="EBF5FB"/>
          </w:tcPr>
          <w:p>
            <w:r>
              <w:rPr>
                <w:sz w:val="16"/>
              </w:rPr>
              <w:t>Deep learning methods for automatic evaluation of delayed enhancement-MRI. The results of the EMIDEC challenge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Sebastian Cajas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2.5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6"/>
              </w:rPr>
              <w:t>Deep learning-based super-resolution gradient echo imaging of the pancreas: Improvement of image quality and reduction of acquisition time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Amir Deghatipour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3.5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551"/>
            <w:vAlign w:val="center"/>
            <w:shd w:val="clear" w:color="auto" w:fill="EBF5FB"/>
          </w:tcPr>
          <w:p>
            <w:r>
              <w:rPr>
                <w:sz w:val="16"/>
              </w:rPr>
              <w:t>Super-resolution and denoising of 4D-Flow MRI using physics-Informed deep neural nets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Amir Deghatipour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2.5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6"/>
              </w:rPr>
              <w:t>Multi-contrast high-field quality image synthesis for portable low-field MRI using generative adversarial networks and paired data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Isaac Mateo Gavilanes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551"/>
            <w:vAlign w:val="center"/>
            <w:shd w:val="clear" w:color="auto" w:fill="EBF5FB"/>
          </w:tcPr>
          <w:p>
            <w:r>
              <w:rPr>
                <w:sz w:val="16"/>
              </w:rPr>
              <w:t>Super-resolution of brain MRI images based on denoising diffusion probabilistic model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Ernest Namdar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6"/>
              </w:rPr>
              <w:t>Fine-tuning deep learning model parameters for improved super-resolution of dynamic MRI with prior-knowledge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Ernest Namdar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551"/>
            <w:vAlign w:val="center"/>
            <w:shd w:val="clear" w:color="auto" w:fill="EBF5FB"/>
          </w:tcPr>
          <w:p>
            <w:r>
              <w:rPr>
                <w:sz w:val="16"/>
              </w:rPr>
              <w:t>3D-MRI super-resolution reconstruction using multi-modality based on multi-resolution CNN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Ernest Namdar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6"/>
              </w:rPr>
              <w:t>Super-resolution reconstruction of knee magnetic resonance imaging based on deep learning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David Restrepo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551"/>
            <w:vAlign w:val="center"/>
            <w:shd w:val="clear" w:color="auto" w:fill="EBF5FB"/>
          </w:tcPr>
          <w:p>
            <w:r>
              <w:rPr>
                <w:sz w:val="16"/>
              </w:rPr>
              <w:t>Deep learning super-resolution reconstruction for fast and high-quality cine cardiovascular magnetic resonance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David Restrepo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6"/>
              </w:rPr>
              <w:t>Convolutional Neural Network-based Enhancement Method of 3D MRI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Isaac Mateo Gavilanes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551"/>
            <w:vAlign w:val="center"/>
            <w:shd w:val="clear" w:color="auto" w:fill="EBF5FB"/>
          </w:tcPr>
          <w:p>
            <w:r>
              <w:rPr>
                <w:sz w:val="16"/>
              </w:rPr>
              <w:t>Cerebrovascular super-resolution 4D Flow MRI - Sequential combination of resolution enhancement by deep learning and physics-informed image processing to non-invasively quantify intracranial velocity, flow, and relative pressure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Isaac Mateo Gavilanes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6"/>
              </w:rPr>
              <w:t>Deep Learning based Early Detection of Alzheimer’s Disease using Image Enhancement Filters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Emmanuel Paul Kwesiga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Low/Moderate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551"/>
            <w:vAlign w:val="center"/>
            <w:shd w:val="clear" w:color="auto" w:fill="EBF5FB"/>
          </w:tcPr>
          <w:p>
            <w:r>
              <w:rPr>
                <w:sz w:val="16"/>
              </w:rPr>
              <w:t>Deep Learning-based Method for Denoising and Image Enhancement in Low-Field MRI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Emmanuel Paul Kwesiga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False</w:t>
            </w:r>
          </w:p>
        </w:tc>
      </w:tr>
    </w:tbl>
    <w:p/>
    <w:p>
      <w:pPr>
        <w:spacing w:before="160" w:after="40"/>
      </w:pPr>
      <w:r>
        <w:rPr>
          <w:b/>
          <w:sz w:val="18"/>
        </w:rPr>
        <w:t>Supplementary Table D [NEW]. Recommended 10-paper calibration set for future reviewer alignment sessions.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rPr>
          <w:trHeight w:val="397"/>
        </w:trPr>
        <w:tc>
          <w:tcPr>
            <w:tcW w:type="dxa" w:w="850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Paper_ID</w:t>
            </w:r>
          </w:p>
        </w:tc>
        <w:tc>
          <w:tcPr>
            <w:tcW w:type="dxa" w:w="2268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Title</w:t>
            </w:r>
          </w:p>
        </w:tc>
        <w:tc>
          <w:tcPr>
            <w:tcW w:type="dxa" w:w="850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Year</w:t>
            </w:r>
          </w:p>
        </w:tc>
        <w:tc>
          <w:tcPr>
            <w:tcW w:type="dxa" w:w="1417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Reviewer_Name</w:t>
            </w:r>
          </w:p>
        </w:tc>
        <w:tc>
          <w:tcPr>
            <w:tcW w:type="dxa" w:w="1134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LMIC_Score</w:t>
            </w:r>
          </w:p>
        </w:tc>
        <w:tc>
          <w:tcPr>
            <w:tcW w:type="dxa" w:w="1417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Architecture_Norm</w:t>
            </w:r>
          </w:p>
        </w:tc>
        <w:tc>
          <w:tcPr>
            <w:tcW w:type="dxa" w:w="1417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Application_Norm</w:t>
            </w:r>
          </w:p>
        </w:tc>
        <w:tc>
          <w:tcPr>
            <w:tcW w:type="dxa" w:w="1134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Low_Field_Norm</w:t>
            </w:r>
          </w:p>
        </w:tc>
        <w:tc>
          <w:tcPr>
            <w:tcW w:type="dxa" w:w="1701"/>
            <w:vAlign w:val="center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Reason_Selected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6"/>
              </w:rPr>
              <w:t>Super-resolution reconstruction of knee magnetic resonance imaging based on deep learning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6"/>
              </w:rPr>
              <w:t>2020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David Restrepo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CNN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Musculoskeletal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reviewer is strict (bias=-1.24); LMIC=1; arch=CNN</w:t>
            </w:r>
          </w:p>
        </w:tc>
      </w:tr>
      <w:tr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268"/>
            <w:vAlign w:val="center"/>
            <w:shd w:val="clear" w:color="auto" w:fill="EBF5FB"/>
          </w:tcPr>
          <w:p>
            <w:r>
              <w:rPr>
                <w:sz w:val="16"/>
              </w:rPr>
              <w:t>Automatic deep learning-based myocardial infarction segmentation from delayed enhancement MRI</w:t>
            </w:r>
          </w:p>
        </w:tc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2022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Martha Nakitanda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CNN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Cardiac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reviewer is strict (bias=-1.24); LMIC=2; arch=CNN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6"/>
              </w:rPr>
              <w:t>Super-resolution of brain MRI images based on denoising diffusion probabilistic model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6"/>
              </w:rPr>
              <w:t>2023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Ernest Namdar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Diffusion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Brain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LMIC=2; arch=Diffusion</w:t>
            </w:r>
          </w:p>
        </w:tc>
      </w:tr>
      <w:tr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2268"/>
            <w:vAlign w:val="center"/>
            <w:shd w:val="clear" w:color="auto" w:fill="EBF5FB"/>
          </w:tcPr>
          <w:p>
            <w:r>
              <w:rPr>
                <w:sz w:val="16"/>
              </w:rPr>
              <w:t>MRI Super-Resolution With Ensemble Learning and Complementary Priors</w:t>
            </w:r>
          </w:p>
        </w:tc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2020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Matheus Botto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GAN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Musculoskeletal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LMIC=2; arch=GAN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6"/>
              </w:rPr>
              <w:t>Deep learning super-resolution reconstruction for fast and high-quality cine cardiovascular magnetic resonance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6"/>
              </w:rPr>
              <w:t>2025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David Restrepo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CNN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classification flips (Low/Moderate → High; likely under-scored); reviewer is strict (bias=-1.24); LMIC=3; arch=CNN</w:t>
            </w:r>
          </w:p>
        </w:tc>
      </w:tr>
      <w:tr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2268"/>
            <w:vAlign w:val="center"/>
            <w:shd w:val="clear" w:color="auto" w:fill="EBF5FB"/>
          </w:tcPr>
          <w:p>
            <w:r>
              <w:rPr>
                <w:sz w:val="16"/>
              </w:rPr>
              <w:t>SMIR: A Transformer-Based Model for MRI super-resolution reconstruction</w:t>
            </w:r>
          </w:p>
        </w:tc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2021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Matheus Botto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Transformer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Brain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LMIC=3; arch=Transformer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6"/>
              </w:rPr>
              <w:t>Joint B0B0​ and Image Reconstruction in Low-Field MRI by Physics-Informed Deep-Learning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6"/>
              </w:rPr>
              <w:t>2024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Nankya Joanitah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U-Net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Musculoskeletal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classification flips (High → Low/Moderate; likely over-scored); reviewer is lenient (bias=+0.51); LMIC=4; arch=U-Net</w:t>
            </w:r>
          </w:p>
        </w:tc>
      </w:tr>
      <w:tr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2268"/>
            <w:vAlign w:val="center"/>
            <w:shd w:val="clear" w:color="auto" w:fill="EBF5FB"/>
          </w:tcPr>
          <w:p>
            <w:r>
              <w:rPr>
                <w:sz w:val="16"/>
              </w:rPr>
              <w:t>Super resolution using sparse sampling at portable ultra-low field MR</w:t>
            </w:r>
          </w:p>
        </w:tc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2024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Leo Kinyera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Non-AI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Brain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classification flips (High → Low/Moderate; likely over-scored); reviewer is lenient (bias=+0.76); LMIC=4; arch=Non-AI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6"/>
              </w:rPr>
              <w:t>Bridging the gap: improving correspondence between low-field and high-field magnetic resonance images in young people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6"/>
              </w:rPr>
              <w:t>2024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Leo Kinyera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CNN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6"/>
              </w:rPr>
              <w:t>Pediatric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6"/>
              </w:rPr>
              <w:t>classification flips (High → Low/Moderate; likely over-scored); reviewer is lenient (bias=+0.76); LMIC=4; arch=CNN</w:t>
            </w:r>
          </w:p>
        </w:tc>
      </w:tr>
      <w:tr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2268"/>
            <w:vAlign w:val="center"/>
            <w:shd w:val="clear" w:color="auto" w:fill="EBF5FB"/>
          </w:tcPr>
          <w:p>
            <w:r>
              <w:rPr>
                <w:sz w:val="16"/>
              </w:rPr>
              <w:t>Evaluation of epilepsy lesion visualisation enhancement in low-field MRI using image quality transfer: a preliminary investigation of clinical potential for applications in developing countries</w:t>
            </w:r>
          </w:p>
        </w:tc>
        <w:tc>
          <w:tcPr>
            <w:tcW w:type="dxa" w:w="850"/>
            <w:vAlign w:val="center"/>
            <w:shd w:val="clear" w:color="auto" w:fill="EBF5FB"/>
          </w:tcPr>
          <w:p>
            <w:r>
              <w:rPr>
                <w:sz w:val="16"/>
              </w:rPr>
              <w:t>2024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Leo Kinyera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5.0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U-Net</w:t>
            </w:r>
          </w:p>
        </w:tc>
        <w:tc>
          <w:tcPr>
            <w:tcW w:type="dxa" w:w="1417"/>
            <w:vAlign w:val="center"/>
            <w:shd w:val="clear" w:color="auto" w:fill="EBF5FB"/>
          </w:tcPr>
          <w:p>
            <w:r>
              <w:rPr>
                <w:sz w:val="16"/>
              </w:rPr>
              <w:t>Brain</w:t>
            </w:r>
          </w:p>
        </w:tc>
        <w:tc>
          <w:tcPr>
            <w:tcW w:type="dxa" w:w="1134"/>
            <w:vAlign w:val="center"/>
            <w:shd w:val="clear" w:color="auto" w:fill="EBF5FB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01"/>
            <w:vAlign w:val="center"/>
            <w:shd w:val="clear" w:color="auto" w:fill="EBF5FB"/>
          </w:tcPr>
          <w:p>
            <w:r>
              <w:rPr>
                <w:sz w:val="16"/>
              </w:rPr>
              <w:t>reviewer is lenient (bias=+0.76); LMIC=5; arch=U-Net</w:t>
            </w:r>
          </w:p>
        </w:tc>
      </w:tr>
    </w:tbl>
    <w:p/>
    <w:p>
      <w:pPr>
        <w:pStyle w:val="Heading1"/>
      </w:pPr>
      <w:r>
        <w:t>4. Discussion</w:t>
      </w:r>
    </w:p>
    <w:p>
      <w:pPr>
        <w:pStyle w:val="Heading2"/>
      </w:pPr>
      <w:r>
        <w:t>4.1 Principal Findings</w:t>
      </w:r>
    </w:p>
    <w:p>
      <w:pPr>
        <w:spacing w:after="80"/>
      </w:pPr>
      <w:r>
        <w:rPr>
          <w:i/>
          <w:color w:val="7F7F7F"/>
        </w:rPr>
        <w:t>[Text — to be written]</w:t>
      </w:r>
    </w:p>
    <w:p>
      <w:pPr>
        <w:pStyle w:val="Heading2"/>
      </w:pPr>
      <w:r>
        <w:t>4.2 Reporting Bias and Selective Metric Disclosure</w:t>
      </w:r>
    </w:p>
    <w:p>
      <w:pPr>
        <w:spacing w:after="80"/>
      </w:pPr>
      <w:r>
        <w:rPr>
          <w:i/>
          <w:color w:val="7F7F7F"/>
        </w:rPr>
        <w:t>[Leo comment #1 — only 39% report PSNR, 37% SSIM; reporters do not differ systematically (Tables 3e–3f)]</w:t>
      </w:r>
    </w:p>
    <w:p>
      <w:pPr>
        <w:pStyle w:val="Heading2"/>
      </w:pPr>
      <w:r>
        <w:t>4.3 Architecture Taxonomy Clarification</w:t>
      </w:r>
    </w:p>
    <w:p>
      <w:pPr>
        <w:spacing w:after="80"/>
      </w:pPr>
      <w:r>
        <w:rPr>
          <w:i/>
          <w:color w:val="7F7F7F"/>
        </w:rPr>
        <w:t>[David Restrepo comment — 'Hybrid' = technique descriptor, not architecture. Addressed via footnotes in Tables 1–2 and Fig 2 subtitle.]</w:t>
      </w:r>
    </w:p>
    <w:p>
      <w:pPr>
        <w:pStyle w:val="Heading2"/>
      </w:pPr>
      <w:r>
        <w:t>4.4 Cross-Field Generalization Gap</w:t>
      </w:r>
    </w:p>
    <w:p>
      <w:pPr>
        <w:spacing w:after="80"/>
      </w:pPr>
      <w:r>
        <w:rPr>
          <w:i/>
          <w:color w:val="7F7F7F"/>
        </w:rPr>
        <w:t>[Leo comment #3 — only 2/51 studies tested cross-field; major unmet need for LMIC deployment.]</w:t>
      </w:r>
    </w:p>
    <w:p>
      <w:pPr>
        <w:pStyle w:val="Heading2"/>
      </w:pPr>
      <w:r>
        <w:t>4.5 Edge and Low-Resource Deployment</w:t>
      </w:r>
    </w:p>
    <w:p>
      <w:pPr>
        <w:spacing w:after="80"/>
      </w:pPr>
      <w:r>
        <w:rPr>
          <w:i/>
          <w:color w:val="7F7F7F"/>
        </w:rPr>
        <w:t>[Leo comment #4 — 37/51 candidates; none report model size; inference time sparse.]</w:t>
      </w:r>
    </w:p>
    <w:p>
      <w:pPr>
        <w:pStyle w:val="Heading2"/>
      </w:pPr>
      <w:r>
        <w:t>4.6 Limitations</w:t>
      </w:r>
    </w:p>
    <w:p>
      <w:pPr>
        <w:spacing w:after="80"/>
      </w:pPr>
      <w:r>
        <w:rPr>
          <w:i/>
          <w:color w:val="7F7F7F"/>
        </w:rPr>
        <w:t>[Single reviewer per paper; reviewer bias (addressed by proxy IRR); English-language bias; LMIC applicability scored indirectly.]</w:t>
      </w:r>
    </w:p>
    <w:p>
      <w:pPr>
        <w:pStyle w:val="Heading1"/>
      </w:pPr>
      <w:r>
        <w:t>5. Conclusion</w:t>
      </w:r>
    </w:p>
    <w:p>
      <w:pPr>
        <w:spacing w:after="80"/>
      </w:pPr>
      <w:r>
        <w:rPr>
          <w:i/>
          <w:color w:val="7F7F7F"/>
        </w:rPr>
        <w:t>[Text — to be written]</w:t>
      </w:r>
    </w:p>
    <w:p>
      <w:pPr>
        <w:pStyle w:val="Heading1"/>
      </w:pPr>
      <w:r>
        <w:t>Translational Roadmap (Figure 6)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340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translational_road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7"/>
        </w:rPr>
        <w:t>Figure 6. Translational Roadmap. Key metrics: n=51, CNN=49%, U-Net=23.5%, low-field=29.4%, PSNR reported=39.2%, code available=17.6%, high-LMIC (≥4)=29.4%. Source: figures/main/fig6_translational_roadmap.svg</w:t>
      </w:r>
    </w:p>
    <w:p>
      <w:pPr>
        <w:pStyle w:val="Heading1"/>
      </w:pPr>
      <w:r>
        <w:t>References</w:t>
      </w:r>
    </w:p>
    <w:p>
      <w:pPr>
        <w:spacing w:after="80"/>
      </w:pPr>
      <w:r>
        <w:rPr>
          <w:i/>
          <w:color w:val="7F7F7F"/>
        </w:rPr>
        <w:t>[References — to be added. Target ≤ 100 per NMI format.]</w:t>
      </w:r>
    </w:p>
    <w:p>
      <w:pPr>
        <w:pStyle w:val="Heading1"/>
      </w:pPr>
      <w:r>
        <w:t>Supplementary Materials</w:t>
      </w:r>
    </w:p>
    <w:p>
      <w:pPr>
        <w:pStyle w:val="Heading2"/>
      </w:pPr>
      <w:r>
        <w:t>Supplementary Tables A–D</w:t>
      </w:r>
    </w:p>
    <w:p>
      <w:pPr>
        <w:spacing w:after="80"/>
      </w:pPr>
      <w:r>
        <w:rPr>
          <w:i/>
          <w:color w:val="7F7F7F"/>
        </w:rPr>
        <w:t>See Supplementary Tables A–D above (cross-field generalization, reviewer bias summary, bias-corrected LMIC scores, calibration set).</w:t>
      </w:r>
    </w:p>
    <w:p>
      <w:pPr>
        <w:pStyle w:val="Heading2"/>
      </w:pPr>
      <w:r>
        <w:t>Code Availability</w:t>
      </w:r>
    </w:p>
    <w:p>
      <w:pPr>
        <w:spacing w:after="80"/>
      </w:pPr>
      <w:r>
        <w:rPr>
          <w:i/>
          <w:color w:val="7F7F7F"/>
        </w:rPr>
        <w:t>https://github.com/criticaldata/MRI-LMICs-survey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