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bottom w:val="single" w:color="14284B" w:sz="18" w:space="2"/>
        </w:pBdr>
        <w:spacing w:after="80"/>
      </w:pPr>
      <w:r>
        <w:rPr>
          <w:rFonts w:ascii="Arial" w:cs="Arial" w:eastAsia="Arial" w:hAnsi="Arial"/>
          <w:b/>
          <w:bCs/>
          <w:color w:val="14284B"/>
          <w:sz w:val="30"/>
          <w:szCs w:val="30"/>
        </w:rPr>
        <w:t xml:space="preserve">ABSTRACT</w:t>
      </w:r>
    </w:p>
    <w:p>
      <w:pPr>
        <w:keepNext w:val="false"/>
        <w:shd w:fill="EEF1F6" w:color="auto" w:val="clear"/>
        <w:spacing w:after="80" w:line="240" w:lineRule="auto"/>
        <w:jc w:val="both"/>
      </w:pPr>
      <w:r>
        <w:rPr>
          <w:rFonts w:ascii="Arial" w:cs="Arial" w:eastAsia="Arial" w:hAnsi="Arial"/>
          <w:color w:val="1A1A1A"/>
          <w:sz w:val="17"/>
          <w:szCs w:val="17"/>
        </w:rPr>
        <w:t xml:space="preserve">Mallplaza (Plaza S.A.) is the largest shopping center operator in the Andean region: 37 centers and 2.36 million m² of GLA in Chile, Peru and Colombia, with revenue almost as predictable as a bond (81.4% rents, 93% fixed and UF-indexed in Chile) and an 80.5% EBITDA margin. It is a great business, but at CLP 3,555 the market prices it as if its cash flows were nearly risk-free. Weighting our DCF at 80% and peer multiples at 20%, we reach a target price of CLP 2,076 and recommend SELL. Our disagreement with the market is not about cash flows but about the discount rate: the price requires a 7.56% WACC, 285 bp below our 10.41%, and a 6.0% cap rate against the 10.1% implied by our cash flows. Growth does not rescue the price, because each new m² earns a 5.0% real return against a 7.2% real WACC, and neither the bull case (CLP 2,627) nor the appraisers' rate (CLP 2,719) reaches the share price. The main risk to the thesis is a further compression of long-term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666"/>
        <w:gridCol w:w="2666"/>
        <w:gridCol w:w="2666"/>
        <w:gridCol w:w="2666"/>
      </w:tblGrid>
      <w:tr>
        <w:tc>
          <w:tcPr>
            <w:tcW w:type="dxa" w:w="266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Recommendation</w:t>
            </w:r>
          </w:p>
          <w:p>
            <w:pPr>
              <w:keepNext w:val="false"/>
              <w:jc w:val="center"/>
            </w:pPr>
            <w:r>
              <w:rPr>
                <w:rFonts w:ascii="Arial" w:cs="Arial" w:eastAsia="Arial" w:hAnsi="Arial"/>
                <w:b/>
                <w:bCs/>
                <w:color w:val="FFFFFF"/>
                <w:sz w:val="26"/>
                <w:szCs w:val="26"/>
              </w:rPr>
              <w:t xml:space="preserve">SELL</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Target price</w:t>
            </w:r>
          </w:p>
          <w:p>
            <w:pPr>
              <w:keepNext w:val="false"/>
              <w:jc w:val="center"/>
            </w:pPr>
            <w:r>
              <w:rPr>
                <w:rFonts w:ascii="Arial" w:cs="Arial" w:eastAsia="Arial" w:hAnsi="Arial"/>
                <w:b/>
                <w:bCs/>
                <w:color w:val="FFFFFF"/>
                <w:sz w:val="26"/>
                <w:szCs w:val="26"/>
              </w:rPr>
              <w:t xml:space="preserve">CLP 2,076</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Price (30-Sep-26)</w:t>
            </w:r>
          </w:p>
          <w:p>
            <w:pPr>
              <w:keepNext w:val="false"/>
              <w:jc w:val="center"/>
            </w:pPr>
            <w:r>
              <w:rPr>
                <w:rFonts w:ascii="Arial" w:cs="Arial" w:eastAsia="Arial" w:hAnsi="Arial"/>
                <w:b/>
                <w:bCs/>
                <w:color w:val="FFFFFF"/>
                <w:sz w:val="26"/>
                <w:szCs w:val="26"/>
              </w:rPr>
              <w:t xml:space="preserve">CLP 3,555</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Upside / downside</w:t>
            </w:r>
          </w:p>
          <w:p>
            <w:pPr>
              <w:keepNext w:val="false"/>
              <w:jc w:val="center"/>
            </w:pPr>
            <w:r>
              <w:rPr>
                <w:rFonts w:ascii="Arial" w:cs="Arial" w:eastAsia="Arial" w:hAnsi="Arial"/>
                <w:b/>
                <w:bCs/>
                <w:color w:val="FFFFFF"/>
                <w:sz w:val="26"/>
                <w:szCs w:val="26"/>
              </w:rPr>
              <w:t xml:space="preserve">−41.6%</w:t>
            </w:r>
          </w:p>
        </w:tc>
      </w:tr>
    </w:tbl>
    <w:p>
      <w:pPr>
        <w:keepNext w:val="false"/>
        <w:spacing w:after="160"/>
      </w:pPr>
    </w:p>
    <w:p>
      <w:pPr>
        <w:keepNext/>
        <w:pBdr>
          <w:bottom w:val="single" w:color="14284B" w:sz="18" w:space="2"/>
        </w:pBdr>
        <w:spacing w:after="80" w:before="120"/>
        <w:ind w:right="3766"/>
      </w:pPr>
      <w:r>
        <w:rPr>
          <w:rFonts w:ascii="Arial" w:cs="Arial" w:eastAsia="Arial" w:hAnsi="Arial"/>
          <w:b/>
          <w:bCs/>
          <w:color w:val="14284B"/>
          <w:sz w:val="30"/>
          <w:szCs w:val="30"/>
        </w:rPr>
        <w:t xml:space="preserve">BUSINESS DESCRIPTION</w:t>
      </w:r>
    </w:p>
    <w:p>
      <w:pPr>
        <w:keepNext/>
        <w:pBdr>
          <w:bottom w:val="single" w:color="E9004B" w:sz="8" w:space="1"/>
        </w:pBdr>
        <w:spacing w:after="50" w:before="110"/>
        <w:ind w:right="3766"/>
      </w:pPr>
      <w:r>
        <w:rPr>
          <w:rFonts w:ascii="Arial" w:cs="Arial" w:eastAsia="Arial" w:hAnsi="Arial"/>
          <w:b/>
          <w:bCs/>
          <w:color w:val="14284B"/>
          <w:sz w:val="16"/>
          <w:szCs w:val="16"/>
        </w:rPr>
        <w:t xml:space="preserve">FROM ONE MALL IN LA FLORIDA TO 37 URBAN CENTERS ACROSS THE ANDEAN REGION</w:t>
      </w:r>
    </w:p>
    <w:tbl>
      <w:tblPr>
        <w:tblpPr w:leftFromText="0" w:rightFromText="0" w:topFromText="0" w:bottomFromText="0" w:tblpX="711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 </w:t>
            </w:r>
            <w:r>
              <w:rPr>
                <w:rFonts w:ascii="Arial" w:cs="Arial" w:eastAsia="Arial" w:hAnsi="Arial"/>
                <w:color w:val="14284B"/>
                <w:sz w:val="14"/>
                <w:szCs w:val="14"/>
              </w:rPr>
              <w:t xml:space="preserve">GLA by country (2Q26) and revenue by source (LTM to Jun-2026)</w:t>
            </w:r>
          </w:p>
          <w:p>
            <w:pPr>
              <w:keepNext w:val="false"/>
              <w:spacing w:after="20" w:before="0" w:line="240" w:lineRule="auto"/>
              <w:jc w:val="center"/>
            </w:pPr>
            <w:r>
              <w:drawing>
                <wp:inline distT="0" distB="0" distL="0" distR="0">
                  <wp:extent cx="11906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906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(p.19) and Institutional Presentation 2Q26 (p.16).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was founded in 1990 with Mallplaza Vespucio, built from the ground up in La Florida, and 35 years later it is one of the leading retail real estate players in the Andean Region, with 37 urban centers and 2.36 million m² of GLA across Chile, Peru and Colombia (Figure 1). It entered Peru in 2007 with Mallplaza Trujillo, listed on the Santiago Stock Exchange in 2018, and is currently controlled by Falabella S.A., which held a 53.1% stake as of December 2025. Its business, however, remains the same as at inception: leasing m². Rent accounts for 81.4% of last-twelve-months (LTM) revenue, with the remainder coming from parking, commercial services and advertising. Because 93% of that rent is fixed and, in Chile, indexed to the UF, revenue is highly predictable, and the company also manages to grow it in real terms. In Chile, same-store rent (SSR) rose 6.5% LTM versus CPI of 4.3%, without straining its tenants, as rent represents only 9.9% of their sales (occupancy cost), nearly unchanged from a year earlier (9.7%). Nor is this an isolated good year: between 1Q23 and 2Q26, Chile SSR averaged 6.9% against inflation of 4.8%.</w:t>
      </w:r>
    </w:p>
    <w:p>
      <w:pPr>
        <w:keepNext/>
        <w:pBdr>
          <w:bottom w:val="single" w:color="E9004B" w:sz="8" w:space="1"/>
        </w:pBdr>
        <w:spacing w:after="50" w:before="110"/>
        <w:ind w:right="3766"/>
      </w:pPr>
      <w:r>
        <w:rPr>
          <w:rFonts w:ascii="Arial" w:cs="Arial" w:eastAsia="Arial" w:hAnsi="Arial"/>
          <w:b/>
          <w:bCs/>
          <w:color w:val="14284B"/>
          <w:sz w:val="16"/>
          <w:szCs w:val="16"/>
        </w:rPr>
        <w:t xml:space="preserve">A CONSTANTLY REINVENTED TENANT MIX AND HIGH MARGINS BY DESIGN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pricing power rests on a tenant mix the company has successfully reinvented. Department stores, which occupied 26.7% of GLA in 2020, fell to 19.0% in 2Q26 after Mallplaza converted roughly 146,000 m² of large-format stores since 2019 to brands such as IKEA, H&amp;M and Decathlon (Appendix 2). Today, 32.2% of GLA is devoted to essential retail and daily-traffic services, such as supermarkets, home improvement, public services and healthcare, which drive high-frequency visits, and another 21.5% to specialty retail. No single tenant dominates revenue: the top five tenants account for 18% and related parties for 15.7%. Add to this a lean cost structure, with cost of sales at 6.2% of revenue and administrative expenses at 13.9%, which leaves an LTM EBITDA margin of 80.5%.</w:t>
      </w:r>
    </w:p>
    <w:p>
      <w:pPr>
        <w:keepNext/>
        <w:pBdr>
          <w:bottom w:val="single" w:color="E9004B" w:sz="8" w:space="1"/>
        </w:pBdr>
        <w:spacing w:after="50" w:before="110"/>
        <w:ind w:right="3766"/>
      </w:pPr>
      <w:r>
        <w:rPr>
          <w:rFonts w:ascii="Arial" w:cs="Arial" w:eastAsia="Arial" w:hAnsi="Arial"/>
          <w:b/>
          <w:bCs/>
          <w:color w:val="14284B"/>
          <w:sz w:val="16"/>
          <w:szCs w:val="16"/>
        </w:rPr>
        <w:t xml:space="preserve">VALUE IS CONCENTRATED IN 10 TIER A ASSETS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growth story is written in its best assets. Ten centers, seven in Chile, two in Colombia and one in Peru, are Tier A, and with 46.4% of GLA they generate more than 60% of EBITDA (Appendix 1). Investment is directed toward them, as the expansions under construction at Trébol, Oeste, Norte, Trujillo and La Serena aim to lift Tier A assets to more than 70% of GLA.</w:t>
      </w:r>
    </w:p>
    <w:p>
      <w:pPr>
        <w:keepNext/>
        <w:pBdr>
          <w:bottom w:val="single" w:color="14284B" w:sz="18" w:space="2"/>
        </w:pBdr>
        <w:spacing w:after="80" w:before="120"/>
        <w:ind w:right="3766"/>
      </w:pPr>
      <w:r>
        <w:rPr>
          <w:rFonts w:ascii="Arial" w:cs="Arial" w:eastAsia="Arial" w:hAnsi="Arial"/>
          <w:b/>
          <w:bCs/>
          <w:color w:val="14284B"/>
          <w:sz w:val="30"/>
          <w:szCs w:val="30"/>
        </w:rPr>
        <w:t xml:space="preserve">INDUSTRY OVERVIEW AND COMPETITIVE POSITIONING</w:t>
      </w:r>
    </w:p>
    <w:p>
      <w:pPr>
        <w:keepNext/>
        <w:pBdr>
          <w:bottom w:val="single" w:color="E9004B" w:sz="8" w:space="1"/>
        </w:pBdr>
        <w:spacing w:after="50" w:before="110"/>
        <w:ind w:right="3766"/>
      </w:pPr>
      <w:r>
        <w:rPr>
          <w:rFonts w:ascii="Arial" w:cs="Arial" w:eastAsia="Arial" w:hAnsi="Arial"/>
          <w:b/>
          <w:bCs/>
          <w:color w:val="14284B"/>
          <w:sz w:val="16"/>
          <w:szCs w:val="16"/>
        </w:rPr>
        <w:t xml:space="preserve">AN INDUSTRY THAT IS CONCENTRATED IN CHILE AND FRAGMENTED IN PERU AND COLOMBIA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retail real estate, shopping center operators do not sell products; they lease square meters of gross leasable area (GLA) to their tenants in exchange for income that is mostly fixed and indexed to each country's inflation. At Mallplaza, for example, 93% of rental income is fixed. For this reason, we measure market share by GLA rather than by sales, and on that basis Mallplaza, Cenco Malls and Parque Arauco together manage 3.4 million m² in Chile alone.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Market structure, however, varies from country to country (Figure 2). In Chile, the trio holds 76% of the GLA of the main operators (CR3) and the partial HHI reaches at least 2,126 points, typical of a highly concentrated market, with Mallplaza as leader (33%) followed by Cenco (29%) and Parque Arauco (14%). In Peru and Colombia, by contrast, the trio accounts for only 37% and 13% of GLA, respectively, leadership is held by an outside operator with 29% and 9%, respectively, and Mallplaza ranks second in both markets. Fragmentation is greatest in Colombia, where most shopping centers are strata-titled (multi-owner), which forces professional operators to grow by acquiring single-owner assets, as Mallplaza did with Gran Plaza.</w:t>
      </w:r>
    </w:p>
    <w:p>
      <w:pPr>
        <w:keepNext/>
        <w:pBdr>
          <w:bottom w:val="single" w:color="E9004B" w:sz="8" w:space="1"/>
        </w:pBdr>
        <w:spacing w:after="50" w:before="110"/>
        <w:ind w:right="3766"/>
      </w:pPr>
      <w:r>
        <w:rPr>
          <w:rFonts w:ascii="Arial" w:cs="Arial" w:eastAsia="Arial" w:hAnsi="Arial"/>
          <w:b/>
          <w:bCs/>
          <w:color w:val="14284B"/>
          <w:sz w:val="16"/>
          <w:szCs w:val="16"/>
        </w:rPr>
        <w:t xml:space="preserve">NEW SUPPLY IN CHILE GROWS IN LINE WITH CONSUMPTION, WITH PRESSURE IN 2027-2028</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Between 2026 and 2028, the trio will add 219,900 m² of organic GLA in Chile that will compete for consumer spending, equivalent to 6.7% of its current GLA; this figure excludes offices and multifamily, which do not depend on consumption, as well as acquisitions, which merely change ownership. Over the same period, the Central Bank of Chile projects cumulative private consumption growth of 6.4% (Figure 3), so new supply is advancing practically in line with expected demand. The timing, however, is uneven: 2026 adds almost no space (+0.2%), and pressure is concentrated in 2027 and 2028, when supply (+2.9% and +3.5%) outpaces consumption (+2.1% and +2.7%).</w:t>
      </w:r>
    </w:p>
    <w:tbl>
      <w:tblPr>
        <w:tblpPr w:leftFromText="0" w:rightFromText="0" w:topFromText="0" w:bottomFromText="0" w:tblpX="7116" w:tblpY="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 </w:t>
            </w:r>
            <w:r>
              <w:rPr>
                <w:rFonts w:ascii="Arial" w:cs="Arial" w:eastAsia="Arial" w:hAnsi="Arial"/>
                <w:color w:val="14284B"/>
                <w:sz w:val="14"/>
                <w:szCs w:val="14"/>
              </w:rPr>
              <w:t xml:space="preserve">Market share by GLA and concentration, 2Q26</w:t>
            </w:r>
          </w:p>
          <w:p>
            <w:pPr>
              <w:keepNext w:val="false"/>
              <w:spacing w:after="20" w:before="0" w:line="240" w:lineRule="auto"/>
              <w:jc w:val="center"/>
            </w:pPr>
            <w:r>
              <w:drawing>
                <wp:inline distT="0" distB="0" distL="0" distR="0">
                  <wp:extent cx="13430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430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(slide 7); team analysis. Colombia pro forma, including Gran 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starting point is challenging, as in 2Q26 real tenant sales of the trio in Chile fell 2.5% YoY. Mallplaza was the only one to grow in real terms (+1.0%), versus declines at Parque Arauco (−1.7%) and Cenco (−5.9%). Even so, tenants continue to demand space, and consolidated occupancy at the three companies has ranged between 93% and 99% since 2Q22, even through the cycle of high inflation and interest rates (Appendix 4). Outside Chile, the balance is more comfortable: dated new supply is limited to Mallplaza expansions in Peru (55,800 m²), is practically nil in Colombia, and coexists with Mallplaza same-store sales (SSS) that grew 7.0% in Peru and 9.0% in Colombia in local currency.</w:t>
      </w:r>
    </w:p>
    <w:p>
      <w:pPr>
        <w:keepNext/>
        <w:pBdr>
          <w:bottom w:val="single" w:color="E9004B" w:sz="8" w:space="1"/>
        </w:pBdr>
        <w:spacing w:after="50" w:before="110"/>
        <w:ind w:right="3766"/>
      </w:pPr>
      <w:r>
        <w:rPr>
          <w:rFonts w:ascii="Arial" w:cs="Arial" w:eastAsia="Arial" w:hAnsi="Arial"/>
          <w:b/>
          <w:bCs/>
          <w:color w:val="14284B"/>
          <w:sz w:val="16"/>
          <w:szCs w:val="16"/>
        </w:rPr>
        <w:t xml:space="preserve">AN ATTRACTIVE INDUSTRY WHOSE ONLY INTENSE FORCE IS RIVALRY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To assess the industry's attractiveness, we analyze Porter's five forces in each country on a scale of 1 (weak) to 5 (intense) and weight them by Mallplaza's GLA in Chile (62%), Peru (26%) and Colombia (12%) (Figure 4; evidence in Appendix 6). The result describes an attractive industry, consistent with EBITDA margins ranging from 71% to 90% across the three operators, in which the only intense force is rivalry.</w:t>
      </w:r>
    </w:p>
    <w:tbl>
      <w:tblPr>
        <w:tblpPr w:leftFromText="0" w:rightFromText="0" w:topFromText="0" w:bottomFromText="0" w:tblpX="7116" w:tblpY="96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 </w:t>
            </w:r>
            <w:r>
              <w:rPr>
                <w:rFonts w:ascii="Arial" w:cs="Arial" w:eastAsia="Arial" w:hAnsi="Arial"/>
                <w:color w:val="14284B"/>
                <w:sz w:val="14"/>
                <w:szCs w:val="14"/>
              </w:rPr>
              <w:t xml:space="preserve">New GLA supply in Chile vs expected private consumption, 2026-2028</w:t>
            </w:r>
          </w:p>
          <w:p>
            <w:pPr>
              <w:keepNext w:val="false"/>
              <w:spacing w:after="20" w:before="0" w:line="240" w:lineRule="auto"/>
              <w:jc w:val="center"/>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4287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2Q26 reports of Plaza S.A., Parque Arauco and Cenco Malls; Central Bank of Chile, Monetary Policy Report (IPoM) Sep-2026 (Table II.1); team analysis. Organic consumption-dependent GLA only.</w:t>
            </w:r>
          </w:p>
        </w:tc>
      </w:tr>
    </w:tbl>
    <w:p>
      <w:pPr>
        <w:keepNext w:val="false"/>
        <w:spacing w:after="60" w:before="0" w:line="228" w:lineRule="auto"/>
        <w:ind w:right="3766"/>
        <w:jc w:val="both"/>
      </w:pPr>
      <w:r>
        <w:rPr>
          <w:rFonts w:ascii="Arial" w:cs="Arial" w:eastAsia="Arial" w:hAnsi="Arial"/>
          <w:b/>
          <w:bCs/>
          <w:i w:val="false"/>
          <w:iCs w:val="false"/>
          <w:color w:val="14284B"/>
          <w:sz w:val="16"/>
          <w:szCs w:val="16"/>
        </w:rPr>
        <w:t xml:space="preserve">Rivalry (4)</w:t>
      </w:r>
      <w:r>
        <w:rPr>
          <w:rFonts w:ascii="Arial" w:cs="Arial" w:eastAsia="Arial" w:hAnsi="Arial"/>
          <w:i w:val="false"/>
          <w:iCs w:val="false"/>
          <w:color w:val="1A1A1A"/>
          <w:sz w:val="16"/>
          <w:szCs w:val="16"/>
        </w:rPr>
        <w:t xml:space="preserve"> is played out not on price but on experience and assets. Mallplaza devotes more than half of its GLA to non-traditional, experience and entertainment formats, Cenco opened QINTO with 30,000 m² of food and dining at Costanera, and Parque Arauco is adding dining floors at Kennedy, while competition to acquire assets is intensifying, with Minka and Plaza Central changing hands in the past year and Parque Arauco announcing the purchase of Quilín and Chicureo. We do not assign the maximum score because the trio's shares in Chile have remained stable since 2Q22 (Appendix 5) and margins show no erosion.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threat of </w:t>
      </w:r>
      <w:r>
        <w:rPr>
          <w:rFonts w:ascii="Arial" w:cs="Arial" w:eastAsia="Arial" w:hAnsi="Arial"/>
          <w:b/>
          <w:bCs/>
          <w:i w:val="false"/>
          <w:iCs w:val="false"/>
          <w:color w:val="14284B"/>
          <w:sz w:val="16"/>
          <w:szCs w:val="16"/>
        </w:rPr>
        <w:t xml:space="preserve">new entrants (2)</w:t>
      </w:r>
      <w:r>
        <w:rPr>
          <w:rFonts w:ascii="Arial" w:cs="Arial" w:eastAsia="Arial" w:hAnsi="Arial"/>
          <w:i w:val="false"/>
          <w:iCs w:val="false"/>
          <w:color w:val="1A1A1A"/>
          <w:sz w:val="16"/>
          <w:szCs w:val="16"/>
        </w:rPr>
        <w:t xml:space="preserve"> is limited, because developing a shopping center is highly capital-intensive (Mallplaza's expansion pipeline totals USD 613 million for 170,200 m²) and much of the scarce urban land is already in the hands of incumbents, with land banks of 618,200 m² at Mallplaza and 640,136 m² at Cenco, although the barrier is lower in Peru and especially in Colombia. The </w:t>
      </w:r>
      <w:r>
        <w:rPr>
          <w:rFonts w:ascii="Arial" w:cs="Arial" w:eastAsia="Arial" w:hAnsi="Arial"/>
          <w:b/>
          <w:bCs/>
          <w:i w:val="false"/>
          <w:iCs w:val="false"/>
          <w:color w:val="14284B"/>
          <w:sz w:val="16"/>
          <w:szCs w:val="16"/>
        </w:rPr>
        <w:t xml:space="preserve">bargaining power of tenants (1)</w:t>
      </w:r>
      <w:r>
        <w:rPr>
          <w:rFonts w:ascii="Arial" w:cs="Arial" w:eastAsia="Arial" w:hAnsi="Arial"/>
          <w:i w:val="false"/>
          <w:iCs w:val="false"/>
          <w:color w:val="1A1A1A"/>
          <w:sz w:val="16"/>
          <w:szCs w:val="16"/>
        </w:rPr>
        <w:t xml:space="preserve"> is weak, given that occupancy in Chile reaches 96-99%, leases are long (Figure 6) and tenants are highly fragmented, to the point that the top five account for only 18% of Mallplaza's revenue. Evidence of this is that Mallplaza has raised its rents in Chile above inflation for more than three years (6.9% versus 4.8% on average between 1Q23 and 2Q26) without its tenants' occupancy cost spiking. The exception is department stores, which as anchors negotiate better terms, although their weight has already fallen to 19.0% of GLA. </w:t>
      </w:r>
      <w:r>
        <w:rPr>
          <w:rFonts w:ascii="Arial" w:cs="Arial" w:eastAsia="Arial" w:hAnsi="Arial"/>
          <w:b/>
          <w:bCs/>
          <w:i w:val="false"/>
          <w:iCs w:val="false"/>
          <w:color w:val="14284B"/>
          <w:sz w:val="16"/>
          <w:szCs w:val="16"/>
        </w:rPr>
        <w:t xml:space="preserve">Suppliers (1)</w:t>
      </w:r>
      <w:r>
        <w:rPr>
          <w:rFonts w:ascii="Arial" w:cs="Arial" w:eastAsia="Arial" w:hAnsi="Arial"/>
          <w:i w:val="false"/>
          <w:iCs w:val="false"/>
          <w:color w:val="1A1A1A"/>
          <w:sz w:val="16"/>
          <w:szCs w:val="16"/>
        </w:rPr>
        <w:t xml:space="preserve"> carry little weight, because common-area expenses are passed through to tenants and cost of sales represents only 6.2% of Mallplaza's revenue. Finally, </w:t>
      </w:r>
      <w:r>
        <w:rPr>
          <w:rFonts w:ascii="Arial" w:cs="Arial" w:eastAsia="Arial" w:hAnsi="Arial"/>
          <w:b/>
          <w:bCs/>
          <w:i w:val="false"/>
          <w:iCs w:val="false"/>
          <w:color w:val="14284B"/>
          <w:sz w:val="16"/>
          <w:szCs w:val="16"/>
        </w:rPr>
        <w:t xml:space="preserve">substitutes (2)</w:t>
      </w:r>
      <w:r>
        <w:rPr>
          <w:rFonts w:ascii="Arial" w:cs="Arial" w:eastAsia="Arial" w:hAnsi="Arial"/>
          <w:i w:val="false"/>
          <w:iCs w:val="false"/>
          <w:color w:val="1A1A1A"/>
          <w:sz w:val="16"/>
          <w:szCs w:val="16"/>
        </w:rPr>
        <w:t xml:space="preserve"> are a low threat: e-commerce takes sales away from tenants, but fixed rent protects the operator and foot traffic keeps growing, as shown by the 4.4% increase at Mallplaza Chile in 2Q26.</w:t>
      </w:r>
    </w:p>
    <w:p>
      <w:pPr>
        <w:keepNext/>
        <w:pBdr>
          <w:bottom w:val="single" w:color="E9004B" w:sz="8" w:space="1"/>
        </w:pBdr>
        <w:spacing w:after="50" w:before="110"/>
        <w:ind w:right="3766"/>
      </w:pPr>
      <w:r>
        <w:rPr>
          <w:rFonts w:ascii="Arial" w:cs="Arial" w:eastAsia="Arial" w:hAnsi="Arial"/>
          <w:b/>
          <w:bCs/>
          <w:color w:val="14284B"/>
          <w:sz w:val="16"/>
          <w:szCs w:val="16"/>
        </w:rPr>
        <w:t xml:space="preserve">MALLPLAZA TURNS ITS SCALE INTO THE MOST PRODUCTIVE M² OF THE TRIO</w:t>
      </w:r>
    </w:p>
    <w:tbl>
      <w:tblPr>
        <w:tblpPr w:leftFromText="0" w:rightFromText="0" w:topFromText="0" w:bottomFromText="0" w:tblpX="7116" w:tblpY="34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4: </w:t>
            </w:r>
            <w:r>
              <w:rPr>
                <w:rFonts w:ascii="Arial" w:cs="Arial" w:eastAsia="Arial" w:hAnsi="Arial"/>
                <w:color w:val="14284B"/>
                <w:sz w:val="14"/>
                <w:szCs w:val="14"/>
              </w:rPr>
              <w:t xml:space="preserve">Porter's five forces, 1-5 scale</w:t>
            </w:r>
          </w:p>
          <w:p>
            <w:pPr>
              <w:keepNext w:val="false"/>
              <w:spacing w:after="20" w:before="0" w:line="240" w:lineRule="auto"/>
              <w:jc w:val="center"/>
            </w:pPr>
            <w:r>
              <w:drawing>
                <wp:inline distT="0" distB="0" distL="0" distR="0">
                  <wp:extent cx="21812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812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team analysis based on 2Q26 reports (Appendix 6). 1 = weak force; 5 = intense force.</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turns its scale into the highest EBITDA per m² of the trio, at CLP 59,451 in 2Q26 versus 58,384 at Cenco and 55,738 at Parque Arauco (Figure 5). That advantage stems from high-traffic urban locations, which in Chile received 52.7 million visits in the quarter versus 32.5 million at Cenco, and from monthly sales per m² of CLP 289,788 in Chile, 5.8% higher than a year earlier. The gap with Cenco is narrow and is partly explained by Cenco having added Plaza Central in June, with just one month of EBITDA in the quarter.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share, Mallplaza has ceded 1.2 pp within the trio in Chile since 2Q22, mainly because Parque Arauco added Kennedy Oriente (70,000 m²) through an acquisition while Mallplaza grew only through expansions, an organic strategy that its 114,400 m² pipeline in Chile through 2028 allows it to sustain.</w:t>
      </w:r>
    </w:p>
    <w:p>
      <w:pPr>
        <w:keepNext/>
        <w:pBdr>
          <w:bottom w:val="single" w:color="E9004B" w:sz="8" w:space="1"/>
        </w:pBdr>
        <w:spacing w:after="50" w:before="110"/>
        <w:ind w:right="3766"/>
      </w:pPr>
      <w:r>
        <w:rPr>
          <w:rFonts w:ascii="Arial" w:cs="Arial" w:eastAsia="Arial" w:hAnsi="Arial"/>
          <w:b/>
          <w:bCs/>
          <w:color w:val="14284B"/>
          <w:sz w:val="16"/>
          <w:szCs w:val="16"/>
        </w:rPr>
        <w:t xml:space="preserve">LONG LEASES TO DEFEND ITS POSITION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position is backed by long-duration leases. The weighted average remaining lease term at Mallplaza is 7.1 years and 57% of its GLA expires in more than five years (Figure 6), placing it between Cenco (8.7 years) and Parque Arauco (5.0 years) with a useful balance: it secures enough revenue to weather the supply pressure of 2027-2028 while leaving 15.1% of GLA expiring within two years to reset rents if demand allows.</w:t>
      </w:r>
    </w:p>
    <w:tbl>
      <w:tblPr>
        <w:tblpPr w:leftFromText="0" w:rightFromText="0" w:topFromText="0" w:bottomFromText="0" w:tblpX="7116" w:tblpY="70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6: </w:t>
            </w:r>
            <w:r>
              <w:rPr>
                <w:rFonts w:ascii="Arial" w:cs="Arial" w:eastAsia="Arial" w:hAnsi="Arial"/>
                <w:color w:val="14284B"/>
                <w:sz w:val="14"/>
                <w:szCs w:val="14"/>
              </w:rPr>
              <w:t xml:space="preserve">Lease expiry profile (% of GLA) and weighted average remaining term, 2Q26</w:t>
            </w:r>
          </w:p>
          <w:p>
            <w:pPr>
              <w:keepNext w:val="false"/>
              <w:spacing w:after="20" w:before="0" w:line="240" w:lineRule="auto"/>
              <w:jc w:val="center"/>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3335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(p.7); Cenco Malls Earnings Presentation 2Q26 (p.14); Parque Arauco 2Q26 Report (p.7) and Investor Presentation 2Q26 (slide 17). GLA-weighted; assumption for Mallplaza.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an attractive industry, but one with high rivalry and supply that will outpace consumption in 2027-2028, the operators with the most productive assets and the most stable leases will gain share and profitability. Mallplaza leads in scale in Chile and in productivity per m², and is the only one of the trio with growing real sales, which leaves it well positioned to defend its profitability. Its main risk is its exposure to Chile, which accounts for 62% of its GLA and where consumption currently looks weaker.</w:t>
      </w:r>
    </w:p>
    <w:p>
      <w:pPr>
        <w:keepNext/>
        <w:pBdr>
          <w:bottom w:val="single" w:color="14284B" w:sz="18" w:space="2"/>
        </w:pBdr>
        <w:spacing w:after="80" w:before="120"/>
        <w:ind w:right="3766"/>
      </w:pPr>
      <w:r>
        <w:rPr>
          <w:rFonts w:ascii="Arial" w:cs="Arial" w:eastAsia="Arial" w:hAnsi="Arial"/>
          <w:b/>
          <w:bCs/>
          <w:color w:val="14284B"/>
          <w:sz w:val="30"/>
          <w:szCs w:val="30"/>
        </w:rPr>
        <w:t xml:space="preserve">ENVIRONMENTAL, SOCIAL AND GOVERNANCE (ESG)</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Plaza's ESG approach cuts across all of its organizational decisions, with the aim of developing its business model in accordance with ESG parameters and thereby contributing to sustainable development, which gives it the opportunity to access financial benefits both from external sources and from its own operations. Regarding compliance with these parameters, Bloomberg rates the company at 3.39 points, below the global industry average (5–6 points) and below its direct competitors in Chile (Figure 7); however, this is offset by the company's “green” profile at the local level, as it ranks among the leading real estate companies in the region.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As for operational benefits, the implementation of an ISO 50001-certified energy management system (EnMS) translates into better energy performance and, consequently, lower operating costs. The opportunities to access local external benefits are tied to the company's ESG image: in Chile, under the R&amp;D Law (CORFO), Plaza can obtain up to a 55% reduction in first-category corporate income tax; Peru recognizes the company with 2 out of 4 stars under “Huella de Carbono Perú”, which strengthens the company's image and makes it easier to obtain permits and licenses in the country; and Colombia has Law 2099 of 2021, which allows income tax deductions for investments in environmental control, conservation and improvement.</w:t>
      </w:r>
    </w:p>
    <w:p>
      <w:pPr>
        <w:keepNext/>
        <w:pBdr>
          <w:bottom w:val="single" w:color="E9004B" w:sz="8" w:space="1"/>
        </w:pBdr>
        <w:spacing w:after="50" w:before="110"/>
        <w:ind w:right="3766"/>
      </w:pPr>
      <w:r>
        <w:rPr>
          <w:rFonts w:ascii="Arial" w:cs="Arial" w:eastAsia="Arial" w:hAnsi="Arial"/>
          <w:b/>
          <w:bCs/>
          <w:color w:val="14284B"/>
          <w:sz w:val="16"/>
          <w:szCs w:val="16"/>
        </w:rPr>
        <w:t xml:space="preserve">ENVIRONMENTAL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Plaza's approach is to achieve efficient, sustainable and circular operational management based on continuous improvement in environmental performance. To this end, it has set three strategic focus areas on ESG parameters: energy and water efficiency, carbon footprint, and waste management. Plaza's main objective is to achieve carbon neutrality, targeting Net Zero in direct and indirect emissions by 2035 (65.6% progress in 2025). </w:t>
      </w:r>
      <w:r>
        <w:rPr>
          <w:rFonts w:ascii="Arial" w:cs="Arial" w:eastAsia="Arial" w:hAnsi="Arial"/>
          <w:b/>
          <w:bCs/>
          <w:i w:val="false"/>
          <w:iCs w:val="false"/>
          <w:color w:val="14284B"/>
          <w:sz w:val="16"/>
          <w:szCs w:val="16"/>
        </w:rPr>
        <w:t xml:space="preserve">Sustainability indices:</w:t>
      </w:r>
      <w:r>
        <w:rPr>
          <w:rFonts w:ascii="Arial" w:cs="Arial" w:eastAsia="Arial" w:hAnsi="Arial"/>
          <w:i w:val="false"/>
          <w:iCs w:val="false"/>
          <w:color w:val="1A1A1A"/>
          <w:sz w:val="16"/>
          <w:szCs w:val="16"/>
        </w:rPr>
        <w:t xml:space="preserve"> The company is included in the DJSI Chile and DJSI MILA, and is the only real estate company in South America to be part of MSCI ESG, with a “BBB” rating, which gives it exposure to ETFs. In addition, it has received the following recognitions: S&amp;P Global Sustainability Yearbook; Morningstar Sustainalytics assigns it a risk rating of 14.4; and Huella de Carbono Perú (2/4 stars), which supports its ESG image.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aims to reduce the energy intensity of common-area expenses by 22% by 2035 (35.5% progress in 2025; Figure 8). The electricity efficiency target is for 100% to come from renewable energy by 2026 (89.3% progress). In 2025, the annual ratio was 0.16 MWh/m² (Energy/GLA), of which 0.14 was renewable and 0.014 non-renewable (Figure 9).</w:t>
      </w:r>
      <w:r>
        <w:rPr>
          <w:rFonts w:ascii="Arial" w:cs="Arial" w:eastAsia="Arial" w:hAnsi="Arial"/>
          <w:b/>
          <w:bCs/>
          <w:i w:val="false"/>
          <w:iCs w:val="false"/>
          <w:color w:val="14284B"/>
          <w:sz w:val="16"/>
          <w:szCs w:val="16"/>
        </w:rPr>
        <w:t xml:space="preserve">Water:</w:t>
      </w:r>
      <w:r>
        <w:rPr>
          <w:rFonts w:ascii="Arial" w:cs="Arial" w:eastAsia="Arial" w:hAnsi="Arial"/>
          <w:i w:val="false"/>
          <w:iCs w:val="false"/>
          <w:color w:val="1A1A1A"/>
          <w:sz w:val="16"/>
          <w:szCs w:val="16"/>
        </w:rPr>
        <w:t xml:space="preserve"> It set the goal of reducing direct water consumption by 30% by 2025, which was 100.9% achieved, influenced by its LEED and EDGE certifications. In 2025, the annual ratio was 0.77 m³/m² (Water/GLA) and 0.66 m³/m² monthly in December.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It set the goal of eliminating 100% of HCFC use by 2030 (14.9% progress in 2025), which is vital for GHG emissions management, an area in which Bloomberg recognizes Plaza as a global industry Leader.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set a target of 60% recovery of waste generated in 2025 (94.8% progress; Figure 9 and Appendix 8, Figure 8.4), and also seeks to divert 75% of solid waste from landfills by 2027. It reports having eliminated 97% of single-use plastics from its operations. </w:t>
      </w:r>
      <w:r>
        <w:rPr>
          <w:rFonts w:ascii="Arial" w:cs="Arial" w:eastAsia="Arial" w:hAnsi="Arial"/>
          <w:b/>
          <w:bCs/>
          <w:i w:val="false"/>
          <w:iCs w:val="false"/>
          <w:color w:val="14284B"/>
          <w:sz w:val="16"/>
          <w:szCs w:val="16"/>
        </w:rPr>
        <w:t xml:space="preserve">Climate management:</w:t>
      </w:r>
      <w:r>
        <w:rPr>
          <w:rFonts w:ascii="Arial" w:cs="Arial" w:eastAsia="Arial" w:hAnsi="Arial"/>
          <w:i w:val="false"/>
          <w:iCs w:val="false"/>
          <w:color w:val="1A1A1A"/>
          <w:sz w:val="16"/>
          <w:szCs w:val="16"/>
        </w:rPr>
        <w:t xml:space="preserve"> Plaza adopts the TCFD recommendations to integrate physical and transition risks, together with environmental due diligence on asset acquisitions, under an environmental compliance program aligned with ISO 14001 and monitored by the sustainability committee.</w:t>
      </w:r>
    </w:p>
    <w:tbl>
      <w:tblPr>
        <w:tblpPr w:leftFromText="0" w:rightFromText="0" w:topFromText="0" w:bottomFromText="0" w:tblpX="7116" w:tblpY="-477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5: </w:t>
            </w:r>
            <w:r>
              <w:rPr>
                <w:rFonts w:ascii="Arial" w:cs="Arial" w:eastAsia="Arial" w:hAnsi="Arial"/>
                <w:color w:val="14284B"/>
                <w:sz w:val="14"/>
                <w:szCs w:val="14"/>
              </w:rPr>
              <w:t xml:space="preserve">EBITDA per m² of GLA, 2Q26 quarterly (CLP)</w:t>
            </w:r>
          </w:p>
          <w:p>
            <w:pPr>
              <w:keepNext w:val="false"/>
              <w:spacing w:after="20" w:before="0" w:line="240" w:lineRule="auto"/>
              <w:jc w:val="center"/>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0572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Cenco Malls Earnings Presentation 2Q26; Parque Arauco 2Q26 Report; team analysis. 2Q26 EBITDA / consolidated GLA as of June 30, 2026.</w:t>
            </w:r>
          </w:p>
        </w:tc>
      </w:tr>
    </w:tbl>
    <w:tbl>
      <w:tblPr>
        <w:tblpPr w:leftFromText="0" w:rightFromText="0" w:topFromText="0" w:bottomFromText="0" w:tblpX="7116" w:tblpY="-205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7: </w:t>
            </w:r>
            <w:r>
              <w:rPr>
                <w:rFonts w:ascii="Arial" w:cs="Arial" w:eastAsia="Arial" w:hAnsi="Arial"/>
                <w:color w:val="14284B"/>
                <w:sz w:val="14"/>
                <w:szCs w:val="14"/>
              </w:rPr>
              <w:t xml:space="preserve">Bloomberg ESG score and external ratings.</w:t>
            </w:r>
          </w:p>
          <w:p>
            <w:pPr>
              <w:keepNext w:val="false"/>
              <w:spacing w:after="20" w:before="0" w:line="240" w:lineRule="auto"/>
              <w:jc w:val="center"/>
            </w:pPr>
            <w:r>
              <w:drawing>
                <wp:inline distT="0" distB="0" distL="0" distR="0">
                  <wp:extent cx="20288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288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Bloomberg (ESG score); MSCI, Morningstar Sustainalytics, S&amp;P Global, Huella Perú; Mallplaza 2025 Annual Report.</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SOCIAL</w:t>
      </w:r>
    </w:p>
    <w:tbl>
      <w:tblPr>
        <w:tblpPr w:leftFromText="0" w:rightFromText="0" w:topFromText="0" w:bottomFromText="0" w:tblpX="7116" w:tblpY="116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8: </w:t>
            </w:r>
            <w:r>
              <w:rPr>
                <w:rFonts w:ascii="Arial" w:cs="Arial" w:eastAsia="Arial" w:hAnsi="Arial"/>
                <w:color w:val="14284B"/>
                <w:sz w:val="14"/>
                <w:szCs w:val="14"/>
              </w:rPr>
              <w:t xml:space="preserve">Environmental targets: progress to 2025.</w:t>
            </w:r>
          </w:p>
          <w:p>
            <w:pPr>
              <w:keepNext w:val="false"/>
              <w:spacing w:after="20" w:before="0" w:line="240" w:lineRule="auto"/>
              <w:jc w:val="center"/>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57425" cy="16002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company approaches the social dimension through a model focused on long-term ethical relationships, as a principle of shared value creation that places the people in its stakeholder groups at the center of its strategy, aligned with ISO 45001 and ILO guidelines; in 2025 it incorporated the risk detection and response program of its human rights policy. In this way, Plaza manages its stakeholders by ensuring transparent engagement, using mechanisms such as community dialogues and materiality assessments (Appendix 8, Figure 8.3), and remains alert to any social incident through its integrity hotline. It is also ranked 31st out of 385 by CADEM in “Marcas Ciudadanas” (“Citizen Brands”), winning the “Shopping Centers” category (2026). Regarding employees, they receive training and even have access to specific programs for those nearing retirement (Appendix 8, section 5); in addition, the company evaluates its suppliers using sustainability criteria (55.3% of regional suppliers and 38.4% of foreign suppliers). Plaza manages its relationship with its customers (tenants) through a relationship model focused on value proposition and experience, measuring their satisfaction through NPS, which rose to 13% in 2025 (Figure 10). To manage emergencies, each center has emergency manuals adapted to local geographic contexts and conducts drills to prevent incidents and educate the community (52 drills were conducted in 2025); regarding privacy, Plaza implemented ISO/IEC 27001, ensuring the confidentiality, integrity and availability of information against cyber risks.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diversity, women represent 53.2% of the total workforce and hold 42% of management positions (Figure 10), and there is an average gender pay gap of 28% at the regional level. The target for 2028 is for 60% of the properties to be certified as inclusive spaces; in addition, Plaza obtained the “Sello Mayor” (“Senior Seal”), a distinction that certifies physical and operational adaptation for older adults.</w:t>
      </w:r>
    </w:p>
    <w:p>
      <w:pPr>
        <w:keepNext/>
        <w:pBdr>
          <w:bottom w:val="single" w:color="E9004B" w:sz="8" w:space="1"/>
        </w:pBdr>
        <w:spacing w:after="50" w:before="110"/>
        <w:ind w:right="3766"/>
      </w:pPr>
      <w:r>
        <w:rPr>
          <w:rFonts w:ascii="Arial" w:cs="Arial" w:eastAsia="Arial" w:hAnsi="Arial"/>
          <w:b/>
          <w:bCs/>
          <w:color w:val="14284B"/>
          <w:sz w:val="16"/>
          <w:szCs w:val="16"/>
        </w:rPr>
        <w:t xml:space="preserve">GOVERNANCE</w:t>
      </w:r>
    </w:p>
    <w:tbl>
      <w:tblPr>
        <w:tblpPr w:leftFromText="0" w:rightFromText="0" w:topFromText="0" w:bottomFromText="0" w:tblpX="7116" w:tblpY="13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9: </w:t>
            </w:r>
            <w:r>
              <w:rPr>
                <w:rFonts w:ascii="Arial" w:cs="Arial" w:eastAsia="Arial" w:hAnsi="Arial"/>
                <w:color w:val="14284B"/>
                <w:sz w:val="14"/>
                <w:szCs w:val="14"/>
              </w:rPr>
              <w:t xml:space="preserve">Renewable energy and waste recovery, 2025.</w:t>
            </w:r>
          </w:p>
          <w:p>
            <w:pPr>
              <w:keepNext w:val="false"/>
              <w:spacing w:after="20" w:before="0" w:line="240" w:lineRule="auto"/>
              <w:jc w:val="center"/>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574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Recovery: percentage of non-hazardous waste; the breakdown adds up to 100% of recovered waste. 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Corporate governance is guided by the G20 and OECD principles, aligned with the CMF's NCG 461; all of this seeks transparent management with risk control and a solid structure to monitor the corporate strategy and ESG commitments. </w:t>
      </w:r>
      <w:r>
        <w:rPr>
          <w:rFonts w:ascii="Arial" w:cs="Arial" w:eastAsia="Arial" w:hAnsi="Arial"/>
          <w:b/>
          <w:bCs/>
          <w:i w:val="false"/>
          <w:iCs w:val="false"/>
          <w:color w:val="14284B"/>
          <w:sz w:val="16"/>
          <w:szCs w:val="16"/>
        </w:rPr>
        <w:t xml:space="preserve">Board and committees:</w:t>
      </w:r>
      <w:r>
        <w:rPr>
          <w:rFonts w:ascii="Arial" w:cs="Arial" w:eastAsia="Arial" w:hAnsi="Arial"/>
          <w:i w:val="false"/>
          <w:iCs w:val="false"/>
          <w:color w:val="1A1A1A"/>
          <w:sz w:val="16"/>
          <w:szCs w:val="16"/>
        </w:rPr>
        <w:t xml:space="preserve"> In 2025, the Board, composed of 9 members (only one of whom is classified as independent; Figure 11 and Appendix 8, Figure 8.2), is responsible for defining Plaza's objectives, strategies and policies, while the directors' committee (composed of 3 members) reviews the balance sheets and financial statements, thereby mitigating agency risks. Together, both bodies oversee the risk management led by the executive team committee and the CEO. In the second half of 2025, CEO Fernando de Peña Iver submitted his resignation, effective at year-end, and Pablo Pulido Sierra took over the position in 2026. </w:t>
      </w:r>
      <w:r>
        <w:rPr>
          <w:rFonts w:ascii="Arial" w:cs="Arial" w:eastAsia="Arial" w:hAnsi="Arial"/>
          <w:b/>
          <w:bCs/>
          <w:i w:val="false"/>
          <w:iCs w:val="false"/>
          <w:color w:val="14284B"/>
          <w:sz w:val="16"/>
          <w:szCs w:val="16"/>
        </w:rPr>
        <w:t xml:space="preserve">Shareholders:</w:t>
      </w:r>
      <w:r>
        <w:rPr>
          <w:rFonts w:ascii="Arial" w:cs="Arial" w:eastAsia="Arial" w:hAnsi="Arial"/>
          <w:i w:val="false"/>
          <w:iCs w:val="false"/>
          <w:color w:val="1A1A1A"/>
          <w:sz w:val="16"/>
          <w:szCs w:val="16"/>
        </w:rPr>
        <w:t xml:space="preserve"> Plaza has a concentrated control model, as it is controlled by Falabella S.A. through its subsidiary Desarrollos Inmobiliarios SpA (53.05% of the shares; Appendix 8, Figure 8.1). Minority shareholders holding 1% are entitled to propose director candidates, and the shareholders are the highest body, responsible for appointing the Board and external auditors and approving dividend policies. </w:t>
      </w:r>
      <w:r>
        <w:rPr>
          <w:rFonts w:ascii="Arial" w:cs="Arial" w:eastAsia="Arial" w:hAnsi="Arial"/>
          <w:b/>
          <w:bCs/>
          <w:i w:val="false"/>
          <w:iCs w:val="false"/>
          <w:color w:val="14284B"/>
          <w:sz w:val="16"/>
          <w:szCs w:val="16"/>
        </w:rPr>
        <w:t xml:space="preserve">Ethics, audit and control:</w:t>
      </w:r>
      <w:r>
        <w:rPr>
          <w:rFonts w:ascii="Arial" w:cs="Arial" w:eastAsia="Arial" w:hAnsi="Arial"/>
          <w:i w:val="false"/>
          <w:iCs w:val="false"/>
          <w:color w:val="1A1A1A"/>
          <w:sz w:val="16"/>
          <w:szCs w:val="16"/>
        </w:rPr>
        <w:t xml:space="preserve"> The ethical framework is supported by the integrity code and the crime prevention model, which together provide a guide for the organization's conduct. In addition, Plaza operates the Autocompliance platform to record meetings with public officials and manage gifts and invitations, along with a confidential integrity hotline for reporting irregularities without risk to the whistleblower. Under the supervision of the directors' committee, a control model is in place, with an internal audit reported monthly to the committee that monitors corrective actions; in parallel, the committee must appoint external auditors and credit rating agencies to analyze the company, as well as have the financial statements audited by independent auditors. Regarding sanctions at the regional level in 2025, Plaza has no antitrust or corruption sanctions, but it has 27 sanctions related to customer/consumer rights, 2 related to workers' rights, 1 from the Superintendency of the Environment and 8 for workplace/sexual harassment (Appendix 8, section 3).</w:t>
      </w:r>
    </w:p>
    <w:p>
      <w:pPr>
        <w:keepNext/>
        <w:pBdr>
          <w:bottom w:val="single" w:color="14284B" w:sz="18" w:space="2"/>
        </w:pBdr>
        <w:spacing w:after="80" w:before="120"/>
        <w:ind w:right="3766"/>
      </w:pPr>
      <w:r>
        <w:rPr>
          <w:rFonts w:ascii="Arial" w:cs="Arial" w:eastAsia="Arial" w:hAnsi="Arial"/>
          <w:b/>
          <w:bCs/>
          <w:color w:val="14284B"/>
          <w:sz w:val="30"/>
          <w:szCs w:val="30"/>
        </w:rPr>
        <w:t xml:space="preserve">FINANCIAL ANALYSIS</w:t>
      </w:r>
    </w:p>
    <w:p>
      <w:pPr>
        <w:keepNext w:val="false"/>
        <w:shd w:fill="EEF1F6" w:color="auto" w:val="clear"/>
        <w:spacing w:after="80" w:line="228" w:lineRule="auto"/>
        <w:ind w:right="3766"/>
        <w:jc w:val="both"/>
      </w:pPr>
      <w:r>
        <w:rPr>
          <w:rFonts w:ascii="Arial" w:cs="Arial" w:eastAsia="Arial" w:hAnsi="Arial"/>
          <w:b/>
          <w:bCs/>
          <w:color w:val="14284B"/>
          <w:sz w:val="16"/>
          <w:szCs w:val="16"/>
        </w:rPr>
        <w:t xml:space="preserve">Mallplaza's rental engine grows at roughly 3% in real terms with an 80% EBITDA margin and cash-flow leverage below 2.5x; headline profit, growth and leverage all overstate that engine and must be normalized before forecasting.</w:t>
      </w:r>
    </w:p>
    <w:p>
      <w:pPr>
        <w:keepNext w:val="false"/>
        <w:spacing w:after="30" w:before="40" w:line="228" w:lineRule="auto"/>
      </w:pPr>
      <w:r>
        <w:rPr>
          <w:rFonts w:ascii="Arial" w:cs="Arial" w:eastAsia="Arial" w:hAnsi="Arial"/>
          <w:b/>
          <w:bCs/>
          <w:color w:val="14284B"/>
          <w:sz w:val="14"/>
          <w:szCs w:val="14"/>
        </w:rPr>
        <w:t xml:space="preserve">Figure 12: </w:t>
      </w:r>
      <w:r>
        <w:rPr>
          <w:rFonts w:ascii="Arial" w:cs="Arial" w:eastAsia="Arial" w:hAnsi="Arial"/>
          <w:color w:val="14284B"/>
          <w:sz w:val="14"/>
          <w:szCs w:val="14"/>
        </w:rPr>
        <w:t xml:space="preserve">Normalized ROE of 8–10% is the real return; reported ROE is appraisal-driven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821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916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961</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margin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income, reported</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margin, normalized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46.2</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equity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8.6</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w:t>
            </w:r>
          </w:p>
        </w:tc>
      </w:tr>
    </w:tbl>
    <w:p>
      <w:pPr>
        <w:keepNext w:val="false"/>
        <w:spacing w:after="0" w:before="10" w:line="216" w:lineRule="auto"/>
        <w:jc w:val="both"/>
      </w:pPr>
      <w:r>
        <w:rPr>
          <w:rFonts w:ascii="Arial" w:cs="Arial" w:eastAsia="Arial" w:hAnsi="Arial"/>
          <w:color w:val="5F5F5F"/>
          <w:sz w:val="11"/>
          <w:szCs w:val="11"/>
        </w:rPr>
        <w:t xml:space="preserve">Normalized = distributable profit (2022A team proxy; 2022 UF indexation inflated by ~13% inflation). Average balances; series starts in 2022 (IAS 40 fair value applied retroactively from 1 Jan 2022). 2026E–2031E: valuation base case; balance sheet rolled forward from Dec-25 (equity + reported profit − ordinary and additional distributions; property revalued at 3% inflation, 27% deferred tax; net debt rising to 3.5x EBITDA by 2031E). Source: Plaza S.A. financial statements (CMF), Note 20e; 2Q26 results release (FFO); Team analysis.</w:t>
      </w:r>
    </w:p>
    <w:p>
      <w:pPr>
        <w:keepNext w:val="false"/>
        <w:spacing w:after="60"/>
      </w:pPr>
    </w:p>
    <w:tbl>
      <w:tblPr>
        <w:tblpPr w:leftFromText="0" w:rightFromText="0" w:topFromText="0" w:bottomFromText="0" w:tblpX="7116" w:tblpY="8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10: </w:t>
            </w:r>
            <w:r>
              <w:rPr>
                <w:rFonts w:ascii="Arial" w:cs="Arial" w:eastAsia="Arial" w:hAnsi="Arial"/>
                <w:color w:val="14284B"/>
                <w:sz w:val="14"/>
                <w:szCs w:val="14"/>
              </w:rPr>
              <w:t xml:space="preserve">Social indicators.</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NPS = % of promoters (scores 9–10) minus % of detractors (0–6). Source: Mallplaza 2025 Annual Report.</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Reported earnings track the appraiser; FFO tracks the business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Under IAS 40, revaluations of investment property run through the income statement. In 2025 a CLP 1,447bn fair-value gain, 27% of opening property value against about 2% a year at Parque Arauco and Cencosud Shopping, lifted attributable net income to CLP 1,431bn (2.2x revenue) and reported ROE to 37.5% (Figure 12). About two-thirds of Chile's 29% uplift came from a lower appraisal discount rate, not from higher NOI.</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Excluding fair-value gains net of deferred tax, audited distributable profit was CLP 369bn and ROE 9.7%, the highest of the three local peers on a comparable basis (Appendix 14). FFO, which we rebuild from the statements to within 0.02% of the reported CLP 405bn (Figure 13), held a 59–62% margin over 2022–2025 while net income swung more than fourfold. FFO excludes the UF indexation of debt (CLP 44bn, 11% of FFO); distributable profit includes it and is our conservative earnings anchor.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Broken down, 2025 normalized ROE (9.7%) is a 56.5% normalized net margin times an asset turnover of only 0.097x and 1.77x accounting leverage. Turnover is low because the balance sheet is at fair value: each revaluation inflates assets and equity without bringing in more cash. We therefore forecast normalized ROE stable at around 8%, rising only with leverage, not with operations.</w:t>
      </w:r>
    </w:p>
    <w:tbl>
      <w:tblPr>
        <w:tblpPr w:leftFromText="0" w:rightFromText="0" w:topFromText="0" w:bottomFromText="0" w:tblpX="7116" w:tblpY="12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11: </w:t>
            </w:r>
            <w:r>
              <w:rPr>
                <w:rFonts w:ascii="Arial" w:cs="Arial" w:eastAsia="Arial" w:hAnsi="Arial"/>
                <w:color w:val="14284B"/>
                <w:sz w:val="14"/>
                <w:szCs w:val="14"/>
              </w:rPr>
              <w:t xml:space="preserve">ESG incentives and Board composition.</w:t>
            </w:r>
          </w:p>
          <w:p>
            <w:pPr>
              <w:keepNext w:val="false"/>
              <w:spacing w:after="20" w:before="0" w:line="240" w:lineRule="auto"/>
              <w:jc w:val="center"/>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57425" cy="15525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Two-thirds of 2025 growth was bought; organic real growth is about 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rose 76% between 2022 and 2025, but 21.8pp of 2025's 32.2% came from perimeter: the Peruvian portfolio bought from Falabella, consolidated from 4 December 2024. Ex-Peru, revenue grew 10.7% in 2025 and 7.1% in 1H26.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Once currency and inflation are removed, 1H26 reported growth of 7.4% falls to about 3.0% real (Figure 14). Chile grew 2.8% after 3.1% UF indexation (5.1% in 2025); Peru 4.5% despite occupancy slipping to 93.8%; Colombia only about 1% once a 7.5% COP appreciation and 6.1% inflation are stripped out. In other words, roughly 60% of 1H26 reported growth came from prices and currency, not from more activity.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Growth is contractual, not sales-driven. Variable rent is 5.1% of revenue and fell 1.1% in 1H26 while tenant sales rose 6.7%, because minimum rents (same-store rent +5.5%) are outpacing tenant sales (same-store sales +3.7%). Revenue is therefore bond-like, but its real growth is converging on the 0.4–0.9% the company assumes for Chile in its own appraisal.</w:t>
      </w:r>
    </w:p>
    <w:p>
      <w:pPr>
        <w:keepNext/>
        <w:pBdr>
          <w:bottom w:val="single" w:color="E9004B" w:sz="8" w:space="1"/>
        </w:pBdr>
        <w:spacing w:after="50" w:before="110"/>
        <w:ind w:right="3766"/>
      </w:pPr>
      <w:r>
        <w:rPr>
          <w:rFonts w:ascii="Arial" w:cs="Arial" w:eastAsia="Arial" w:hAnsi="Arial"/>
          <w:b/>
          <w:bCs/>
          <w:color w:val="14284B"/>
          <w:sz w:val="16"/>
          <w:szCs w:val="16"/>
        </w:rPr>
        <w:t xml:space="preserve">Margin gains came from mix and cost recovery; operating leverage is spent</w:t>
      </w:r>
    </w:p>
    <w:tbl>
      <w:tblPr>
        <w:tblpPr w:leftFromText="0" w:rightFromText="0" w:topFromText="0" w:bottomFromText="0" w:tblpX="7116" w:tblpY="44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13: </w:t>
            </w:r>
            <w:r>
              <w:rPr>
                <w:rFonts w:ascii="Arial" w:cs="Arial" w:eastAsia="Arial" w:hAnsi="Arial"/>
                <w:color w:val="14284B"/>
                <w:sz w:val="14"/>
                <w:szCs w:val="14"/>
              </w:rPr>
              <w:t xml:space="preserve">Removing fair-value gains and non-cash items turns CLP 1,441bn of profit into CLP 408bn of FFO (CLP bn)</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Light blue adds back, red removes, navy = totals. After minorities (CLP 2.8bn), FFO attributable is CLP 405.2bn vs CLP 405.3bn reported. Source: Plaza S.A. financial statements (CMF) FY2025, Notes 13.1 and 23;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EBITDA margin rose from 76.2% in 2022 to 80.5% in 2025 for two reasons. Peru consolidates at an 83% segment margin, against 80% in Chile and 73% in Colombia. Chile's margin gained 2.4pp on a higher recovery of common charges, which are presented net of cost (Note 2.20): real, but dependent on occupancy and tenant negotiations, so not structural.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With cost of sales at 6% of revenue and total operating costs near 20%, little fixed cost is left to dilute; with D&amp;A at 0.7% of revenue, EBIT (CLP 523bn in 2025) tracks EBITDA. In 1H26 EBITDA grew 7.4%, in line with revenue, and margin held at 79.7%. Administrative expense rose 18.1% on payroll (+18.9%: CEO transition and a full year of Peru), a bad-debt charge rebounding from a 2025 base flattered by recoveries (0.64% of revenue, below 1.22% in 2024), and a one-off Colombian wealth tax of CLP 1.7bn. Excluding the last two, 1H26 margin would be 80.4%, up 0.7pp.</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costs have already fallen from 23.8% of revenue in 2023 to 20.1% in 2025 (Appendix 11), so there is little left for the margin to gain: from here, EBITDA grows with rents, not with efficiency.</w:t>
      </w:r>
    </w:p>
    <w:p>
      <w:pPr>
        <w:keepNext/>
        <w:pBdr>
          <w:bottom w:val="single" w:color="E9004B" w:sz="8" w:space="1"/>
        </w:pBdr>
        <w:spacing w:after="50" w:before="110"/>
        <w:ind w:right="3766"/>
      </w:pPr>
      <w:r>
        <w:rPr>
          <w:rFonts w:ascii="Arial" w:cs="Arial" w:eastAsia="Arial" w:hAnsi="Arial"/>
          <w:b/>
          <w:bCs/>
          <w:color w:val="14284B"/>
          <w:sz w:val="16"/>
          <w:szCs w:val="16"/>
        </w:rPr>
        <w:t xml:space="preserve">Cash covers the dividend 2.6x; the ceiling is policy, not liquidity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cash flow rose from CLP 301bn in 2024 to CLP 441bn in 2025, converting 98.7% of EBITDA before tax. Cash tax was only 15% of operating profit, sheltered by tax goodwill from Chilean reorganizations and loss carry-forwards (Note 13), and will rise toward the 27% statutory rate. After capex and net interest, free cash flow before debt service was CLP 280bn, covering dividends 2.6x (Figure 15).</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38.6% jump in 1H26 operating cash flow is not earnings power: 59% of it was December collections unwinding through working capital. Receivable days fell from 66 to 50, with no sign of weaker collection.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dividend policy pays out 40% of distributable profit with a one-year lag, so retained cash is high: CLP 171.6bn in 2025. In the base case, FFO rises from CLP 428.5bn in 2026E to CLP 501.6bn in 2031E and ordinary dividends from CLP 147.7bn to 172.6bn; the remaining cash, together with new debt, funds capex and the additional distributions (Appendix 13).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Capex is stepping up. Contractual investment commitments rose to CLP 78bn at June 2026 from CLP 18bn in December 2025, and 1H26 property capex was CLP 81bn (+176%). The base case funds USD 445m of remaining pipeline over 2026–2028 and then keeps adding about 27,000 m² of GLA a year, the 2022–2025 organic pace, so capex settles near 16% of revenue rather than the 5.5% maintenance floor (Figure 18).</w:t>
      </w:r>
    </w:p>
    <w:tbl>
      <w:tblPr>
        <w:tblpPr w:leftFromText="0" w:rightFromText="0" w:topFromText="0" w:bottomFromText="0" w:tblpX="7116" w:tblpY="-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14: </w:t>
            </w:r>
            <w:r>
              <w:rPr>
                <w:rFonts w:ascii="Arial" w:cs="Arial" w:eastAsia="Arial" w:hAnsi="Arial"/>
                <w:color w:val="14284B"/>
                <w:sz w:val="14"/>
                <w:szCs w:val="14"/>
              </w:rPr>
              <w:t xml:space="preserve">Two-thirds of 2025 growth was bought; in 1H26 currency and inflation explain more than half</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Segments split multiplicatively (real × inflation × FX) from local-currency growth (Chile 6.1%, Peru 7.9%, Colombia 7.3%); consolidated weighted by FY2025 revenue. Source: Plaza S.A. interim financial statements (CMF), Note 24; UF (SII/BCCh); Bloomberg FX; INEI; DANE; Team analysis.</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Cash-flow metrics earn the AAA; equity-based ratios flatter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LTV fell from 26.9% to 18.8% in 2025, but 5.0pp of the 8.0pp drop came from revaluing the denominator; with property at 2024 value plus additions, LTV would have been 23.8% (Figure 16). Cash-flow metrics are the honest lens and support Feller Rate's upgrade to AAA (25 September 2026): net debt/EBITDA fell from 3.78x to 2.36x on June 2026 LTM EBITDA (the 2024 figure includes only one month of Peru), and EBITDA covers financial costs 8.4x.</w:t>
      </w:r>
    </w:p>
    <w:p>
      <w:pPr>
        <w:keepNext w:val="false"/>
        <w:spacing w:after="60" w:before="0" w:line="228" w:lineRule="auto"/>
        <w:ind w:right="3766"/>
        <w:jc w:val="both"/>
      </w:pPr>
      <w:r>
        <w:rPr>
          <w:rFonts w:ascii="Arial" w:cs="Arial" w:eastAsia="Arial" w:hAnsi="Arial"/>
          <w:i w:val="false"/>
          <w:iCs w:val="false"/>
          <w:color w:val="1A1A1A"/>
          <w:sz w:val="16"/>
          <w:szCs w:val="16"/>
        </w:rPr>
        <w:t xml:space="preserve">Gross debt of CLP 1,633bn is 79% UF, 14% PEN and 7% COP, matching revenue currencies; 95% is long term, with a 6.6-year duration. The UF bonds carry a 3.36% real coupon (3.48% effective), but with UF indexation the all-in nominal cost was about 7% in 2025. Maturities cluster in 2029, 2031 and 2033 (Figure 17); refinancing series S (1.32% effective) at the latest issue's 4.33% would add about CLP 4.9bn a year. Liquidity is ample: at June 2026 the current ratio was 2.50x and cash covered current liabilities 1.71x.</w:t>
      </w:r>
    </w:p>
    <w:tbl>
      <w:tblPr>
        <w:tblpPr w:leftFromText="0" w:rightFromText="0" w:topFromText="0" w:bottomFromText="0" w:tblpX="7116" w:tblpY="77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15: </w:t>
            </w:r>
            <w:r>
              <w:rPr>
                <w:rFonts w:ascii="Arial" w:cs="Arial" w:eastAsia="Arial" w:hAnsi="Arial"/>
                <w:color w:val="14284B"/>
                <w:sz w:val="14"/>
                <w:szCs w:val="14"/>
              </w:rPr>
              <w:t xml:space="preserve">Free cash flow covers dividends 1.5–2.6x even as capex rises (FY2025, CLP bn)</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Cash flow statement (direct method; interest paid in financing). FCF before debt repayment. Capex = investment property + intangibles + PP&amp;E (15.8% of revenue in 2025; 24.8% in 1H26). Source: Plaza S.A. financial statements (CMF);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Our base case spends that headroom. Net debt/EBITDA converges linearly from 2.36x to 3.5x by end-2031E, between Cencosud Shopping (2.1x) and Parque Arauco (5.7x), and each extra turn adds 25bp to the real cost of debt. Cash beyond the 40% payout and the capex plan is returned through buybacks or special dividends, CLP 1.8tn cumulatively over 2H26E–2031E (Appendix 13). At 3.5x the new AAA would likely come under pressure.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One liability does not show up in LTV: deferred taxes, CLP 1,313.7bn at June 2026, almost 80% of gross financial debt. They arise almost entirely from property revaluation; they are not debt to be repaid, but they show how much of the CLP 4,820.9bn book equity is appraisal rather than cash (Appendix 10). Against peers the balance sheet is conservative: LTV of 18.8% versus 42.9% at Parque Arauco and 16.3% at Cencosud Shopping, and net debt/EBITDA of 2.49x versus 5.68x and 2.11x (Appendix 14).</w:t>
      </w:r>
    </w:p>
    <w:p>
      <w:pPr>
        <w:keepNext/>
        <w:pBdr>
          <w:bottom w:val="single" w:color="E9004B" w:sz="8" w:space="1"/>
        </w:pBdr>
        <w:spacing w:after="50" w:before="110"/>
        <w:ind w:right="3766"/>
      </w:pPr>
      <w:r>
        <w:rPr>
          <w:rFonts w:ascii="Arial" w:cs="Arial" w:eastAsia="Arial" w:hAnsi="Arial"/>
          <w:b/>
          <w:bCs/>
          <w:color w:val="14284B"/>
          <w:sz w:val="16"/>
          <w:szCs w:val="16"/>
        </w:rPr>
        <w:t xml:space="preserve">The forecast carries forward what history supports, including the pace of expansion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grows 7.7% in 2026E and 5.0% in 2031E (2026E–2031E CAGR 6.4%), as real same-store growth converges to the appraisal midpoints, 123,700 m² of dated pipeline matures and, from 2029E, about 27,000 m² a year opens at the historical pace (Figure 18); 2026E and 2027E revenue sit within 0.6% of consensus. EBITDA margin stays at 79.7–79.8%, below the 2025 peak. Cash tax normalizes from 16.8% to 27% by 2030E and financial costs rise with leverage, so FFO margin slides from 60.9% to 52.2%. Working capital is held at 15.6% of revenue, the December 2025 level (Appendix 9). New GLA yields 6.9% on cost, a 5.0% real return after tax against a 7.2% real WACC: expansion adds revenue but not value.</w:t>
      </w:r>
    </w:p>
    <w:tbl>
      <w:tblPr>
        <w:tblpPr w:leftFromText="0" w:rightFromText="0" w:topFromText="0" w:bottomFromText="0" w:tblpX="7116" w:tblpY="-1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18: </w:t>
            </w:r>
            <w:r>
              <w:rPr>
                <w:rFonts w:ascii="Arial" w:cs="Arial" w:eastAsia="Arial" w:hAnsi="Arial"/>
                <w:color w:val="14284B"/>
                <w:sz w:val="14"/>
                <w:szCs w:val="14"/>
              </w:rPr>
              <w:t xml:space="preserve">After the pipeline, expansion keeps capex near CLP 150bn a year while leverage rebuilds to 3.5x</w:t>
            </w:r>
          </w:p>
          <w:p>
            <w:pPr>
              <w:keepNext w:val="false"/>
              <w:spacing w:after="20" w:before="0" w:line="240" w:lineRule="auto"/>
              <w:jc w:val="center"/>
            </w:pPr>
            <w:r>
              <w:drawing>
                <wp:inline distT="0" distB="0" distL="0" distR="0">
                  <wp:extent cx="8953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953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2026E includes CLP 84.2bn spent in 1H26; 2024A leverage includes one month of Peru EBITDA. Source: Plaza S.A. financial statements (CMF); 2Q26 results release (pipeline); valuation base case (Appendices 9 and 13).</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What this means for valuation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analysis leaves three conclusions for the model. First, the right earnings base is cash: we use the company's EBITDA, which removes revaluation once (Appendix 12), and distributable profit as the anchor, not the CLP 1,431bn accounting profit. Second, business quality is not in doubt: Mallplaza earns the highest normalized ROE of its local peers (9.7% against 7.8% at Parque Arauco and 8.0% at Cencosud Shopping) with an LTV of only 18.8% (Appendix 14).</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Third, the return on capital at fair value is low. 2025 ROIC, with NOPAT at 27% over invested capital at appraised value, was 7.3% (Appendix 11), below a 10.4% nominal WACC: the properties are worth more on the books than their cash flows justify at our rate. At the current price, 2026E FFO of CLP 428.5bn yields 5.5% on market value (18x FFO) and distributable profit 4.9%: the market is paying for these cash flows as if they were almost risk-free. That is the gap the Valuation section quantifies. In short: a high-quality business, with predictable cash and a comfortable balance sheet, whose price already discounts more than those cash flows can deliver.</w:t>
      </w:r>
    </w:p>
    <w:p>
      <w:pPr>
        <w:keepNext/>
        <w:pBdr>
          <w:bottom w:val="single" w:color="14284B" w:sz="18" w:space="2"/>
        </w:pBdr>
        <w:spacing w:after="80" w:before="120"/>
        <w:ind w:right="3766"/>
      </w:pPr>
      <w:r>
        <w:rPr>
          <w:rFonts w:ascii="Arial" w:cs="Arial" w:eastAsia="Arial" w:hAnsi="Arial"/>
          <w:b/>
          <w:bCs/>
          <w:color w:val="14284B"/>
          <w:sz w:val="30"/>
          <w:szCs w:val="30"/>
        </w:rPr>
        <w:t xml:space="preserve">VALUATION</w:t>
      </w:r>
    </w:p>
    <w:tbl>
      <w:tblPr>
        <w:tblpPr w:leftFromText="0" w:rightFromText="0" w:topFromText="0" w:bottomFromText="0" w:tblpX="7116" w:tblpY="5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16: </w:t>
            </w:r>
            <w:r>
              <w:rPr>
                <w:rFonts w:ascii="Arial" w:cs="Arial" w:eastAsia="Arial" w:hAnsi="Arial"/>
                <w:color w:val="14284B"/>
                <w:sz w:val="14"/>
                <w:szCs w:val="14"/>
              </w:rPr>
              <w:t xml:space="preserve">Two-thirds of the 2025 fall in LTV is revaluation, not deleveraging</w:t>
            </w:r>
          </w:p>
          <w:p>
            <w:pPr>
              <w:keepNext w:val="false"/>
              <w:spacing w:after="20" w:before="0" w:line="240" w:lineRule="auto"/>
              <w:jc w:val="center"/>
            </w:pPr>
            <w:r>
              <w:drawing>
                <wp:inline distT="0" distB="0" distL="0" distR="0">
                  <wp:extent cx="131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144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LTV = net financial debt / investment property. Debt &amp; additions = LTV with property at 2024 value plus 2025 additions (23.8%). Jun-26 ratios on LTM EBITDA. Source: Plaza S.A. financial statements (CMF), Notes 11 and 26; MD&amp;A 2025 and 1H26; Team analysis.</w:t>
            </w:r>
          </w:p>
        </w:tc>
      </w:tr>
    </w:tbl>
    <w:p>
      <w:pPr>
        <w:keepNext w:val="false"/>
        <w:shd w:fill="EEF1F6" w:color="auto" w:val="clear"/>
        <w:spacing w:after="80" w:line="228" w:lineRule="auto"/>
        <w:ind w:right="3766"/>
        <w:jc w:val="both"/>
      </w:pPr>
      <w:r>
        <w:rPr>
          <w:rFonts w:ascii="Arial" w:cs="Arial" w:eastAsia="Arial" w:hAnsi="Arial"/>
          <w:color w:val="1A1A1A"/>
          <w:sz w:val="16"/>
          <w:szCs w:val="16"/>
        </w:rPr>
        <w:t xml:space="preserve">We recommend SELL on Mallplaza with a target price of CLP 2,076 per share, 41.6% below the CLP 3,555 close of 30-Sep-26 (−39.7% total return including dividends). Our target sits even below the stock's 52-week low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A PRICE NO METHOD REACHES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twelve months the stock rose from CLP 2,470 to 4,700 and now trades at CLP 3,555. None of our methods reaches that price: the DCF ranges from CLP 1,379 to 2,329 even with WACC ±100 bp and g between 2.5% and 4.0%, and the most favourable multiples fall short too (Figure 19). We give the DCF an 80% weight because Mallplaza is, at heart, a rent collector: 81.4% of revenue is rent and 93% of that is fixed. The 20% on multiples tests the model against what the market pays today, but with caution: Chile has only two direct peers, and neither captures the company's expansion plan or debt path.</w:t>
      </w:r>
    </w:p>
    <w:tbl>
      <w:tblPr>
        <w:tblpPr w:leftFromText="0" w:rightFromText="0" w:topFromText="0" w:bottomFromText="0" w:tblpX="7116" w:tblpY="95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21: </w:t>
            </w:r>
            <w:r>
              <w:rPr>
                <w:rFonts w:ascii="Arial" w:cs="Arial" w:eastAsia="Arial" w:hAnsi="Arial"/>
                <w:color w:val="14284B"/>
                <w:sz w:val="14"/>
                <w:szCs w:val="14"/>
              </w:rPr>
              <w:t xml:space="preserve">Working capital: an assumption that does not move the price (±1.2%)</w:t>
            </w:r>
          </w:p>
          <w:p>
            <w:pPr>
              <w:keepNext w:val="false"/>
              <w:spacing w:after="20" w:before="0" w:line="240" w:lineRule="auto"/>
              <w:jc w:val="center"/>
            </w:pPr>
            <w:r>
              <w:drawing>
                <wp:inline distT="0" distB="0" distL="0" distR="0">
                  <wp:extent cx="14668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668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financial statements;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Figure 19 sums up the thesis in one picture. APV, which values the firm unlevered and adds the tax shields separately, gives CLP 1,894, just 2% above the DCF: the result does not depend on how we model financing. Multiples range from CLP 2,152 (common-set median) to 3,294 (Chilean median), and EV/EBITDA NTM and EV/EBIT sit between CLP 2,914 and 3,098. Everything falls to the left of the price; the only thing that reaches it is the stock's own trading range over the past year. Even the Chilean median multiple, the most favourable case for the stock, sits 7% below the price.</w:t>
      </w:r>
    </w:p>
    <w:p>
      <w:pPr>
        <w:keepNext/>
        <w:pBdr>
          <w:bottom w:val="single" w:color="E9004B" w:sz="8" w:space="1"/>
        </w:pBdr>
        <w:spacing w:after="50" w:before="110"/>
        <w:ind w:right="3766"/>
      </w:pPr>
      <w:r>
        <w:rPr>
          <w:rFonts w:ascii="Arial" w:cs="Arial" w:eastAsia="Arial" w:hAnsi="Arial"/>
          <w:b/>
          <w:bCs/>
          <w:color w:val="14284B"/>
          <w:sz w:val="16"/>
          <w:szCs w:val="16"/>
        </w:rPr>
        <w:t xml:space="preserve">THE STORY IS IN THE RATE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project free cash flow to the firm in nominal CLP from 30-Jun-26, with an explicit horizon to 2031E and a terminal value that accounts for 76% of EV (Appendix 15). The CLP 1,857 per share is CLP 583 of explicit cash flows and CLP 1,884 of terminal value, less CLP 610 of debt and minorities: the result depends, above all, on the discount rate.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rate moves with the capital structure. Mallplaza uses its debt capacity to grow, as in 2024 after buying Open Plaza Peru (3.78x): we assume net debt/EBITDA rises from 2.36x to 3.5x by 2031, with 25 bp more real cost per turn, and that new debt (CLP 1.40 trillion) funds all capex while operating cash is distributed to shareholders. The nominal WACC thus moves from 10.54% in 2H26E to 10.41% in the terminal period (7.20% real): an 11.93% Ke (Rf 4.98%, relevered beta of 1.14 from a six-peer median of 0.94, ERP 4.14% and a 1.41% revenue-weighted CRP) and a 5.11% after-tax Kd based on the 3.6% real coupon of the latest bond (Appendix 19).</w:t>
      </w:r>
    </w:p>
    <w:tbl>
      <w:tblPr>
        <w:tblpPr w:leftFromText="0" w:rightFromText="0" w:topFromText="0" w:bottomFromText="0" w:tblpX="7116" w:tblpY="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17: </w:t>
            </w:r>
            <w:r>
              <w:rPr>
                <w:rFonts w:ascii="Arial" w:cs="Arial" w:eastAsia="Arial" w:hAnsi="Arial"/>
                <w:color w:val="14284B"/>
                <w:sz w:val="14"/>
                <w:szCs w:val="14"/>
              </w:rPr>
              <w:t xml:space="preserve">Refinancing risk sits in 2029, 2031 and 2033, not in the near term</w:t>
            </w:r>
          </w:p>
          <w:p>
            <w:pPr>
              <w:keepNext w:val="false"/>
              <w:spacing w:after="20" w:before="0" w:line="240" w:lineRule="auto"/>
              <w:jc w:val="center"/>
            </w:pPr>
            <w:r>
              <w:drawing>
                <wp:inline distT="0" distB="0" distL="0" distR="0">
                  <wp:extent cx="12001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001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UF bonds, book value Dec-25 (total CLP 1,277.7bn); label = effective real rate (two-series years: book-value-weighted). Excludes CLP 301.6bn of PEN/COP bank debt. Source: Plaza S.A. financial statements Dec-25, Note 14;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We build Ke in dollars because its three inputs are in that currency: the US Treasury Rf, the implied equity risk premium published by Damodaran and country risk, which we weight by revenue (71.8% Chile, 17.7% Peru and 10.5% Colombia). We then convert it to pesos with the gap between expected inflation in Chile (3.0%, the central bank's target) and in the US (2.24%, 10-year breakeven). The beta starts from unlevering six regional peers with Hamada and is relevered each period with Mallplaza's structure, which is why it moves from 1.09 in 2H26E to 1.14 in the terminal period.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Here the first signal appears: at CLP 3,555, equity yields ~4.4% real, just 80 bp above the company's own real cost of debt (Figure 20). The market is pricing the stock almost as if it were a bond.</w:t>
      </w:r>
    </w:p>
    <w:p>
      <w:pPr>
        <w:keepNext/>
        <w:pBdr>
          <w:bottom w:val="single" w:color="E9004B" w:sz="8" w:space="1"/>
        </w:pBdr>
        <w:spacing w:after="50" w:before="110"/>
        <w:ind w:right="3766"/>
      </w:pPr>
      <w:r>
        <w:rPr>
          <w:rFonts w:ascii="Arial" w:cs="Arial" w:eastAsia="Arial" w:hAnsi="Arial"/>
          <w:b/>
          <w:bCs/>
          <w:color w:val="14284B"/>
          <w:sz w:val="16"/>
          <w:szCs w:val="16"/>
        </w:rPr>
        <w:t xml:space="preserve">GROWTH DOES NOT RESCUE THE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This is not pessimism about operations. We forecast a 79.7% EBITDA margin in 2026E (excluding revaluation, below the 80.5% LTM), a tax rate converging from 16.8% to 27%, the announced pipeline (USD 613 million and 170,200 m²) and, from 2029, 27,075 m² of new GLA a year at the historical pace. The 13-analyst consensus expects NTM EBITDA only ~3% above ours: the disagreement with the market is not about cash flows.</w:t>
      </w:r>
    </w:p>
    <w:tbl>
      <w:tblPr>
        <w:tblpPr w:leftFromText="0" w:rightFromText="0" w:topFromText="0" w:bottomFromText="0" w:tblpX="7116" w:tblpY="74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19: </w:t>
            </w:r>
            <w:r>
              <w:rPr>
                <w:rFonts w:ascii="Arial" w:cs="Arial" w:eastAsia="Arial" w:hAnsi="Arial"/>
                <w:color w:val="14284B"/>
                <w:sz w:val="14"/>
                <w:szCs w:val="14"/>
              </w:rPr>
              <w:t xml:space="preserve">No method justifies the current price (CLP per share)</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52-week intraday range (1-Oct-25 to 30-Sep-26; low 10-Oct-25, high 27-Apr-26). Source: Team analysis; Bloomberg.</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Capex follows the company's plan: the pipeline and maintenance (5.5% of revenue) take base capex to a peak of CLP 240,660 million in 2027, and continuous expansion adds CLP 95,000–104,000 million a year from 2028, at the cost of the identified pipeline (USD 3,603 per m²) with a 35%, 90% and 100% revenue ramp. Working capital, at 15.6% of revenue, requires only CLP 7,100–9,900 million a year and moves the price by ±1.2% (Figure 21). These are assumptions the team can defend line by line (Appendix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Two assumptions deserve explanation. The cash tax rate starts at 16.8% because the company currently uses tax goodwill and loss carry-forwards; we assume those shields run off and the rate reaches 27% by 2030, so as not to overstate value. And working capital is positive because tenant receivables (CLP 122,370 million) exceed rents collected in advance (CLP 20,247 million): it grows with revenue, not with new m².</w:t>
      </w:r>
    </w:p>
    <w:tbl>
      <w:tblPr>
        <w:tblpPr w:leftFromText="0" w:rightFromText="0" w:topFromText="0" w:bottomFromText="0" w:tblpX="7116" w:tblpY="54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20: </w:t>
            </w:r>
            <w:r>
              <w:rPr>
                <w:rFonts w:ascii="Arial" w:cs="Arial" w:eastAsia="Arial" w:hAnsi="Arial"/>
                <w:color w:val="14284B"/>
                <w:sz w:val="14"/>
                <w:szCs w:val="14"/>
              </w:rPr>
              <w:t xml:space="preserve">At CLP 3,555 equity yields almost the same as debt</w:t>
            </w:r>
          </w:p>
          <w:p>
            <w:pPr>
              <w:keepNext w:val="false"/>
              <w:spacing w:after="20" w:before="0" w:line="240" w:lineRule="auto"/>
              <w:jc w:val="center"/>
            </w:pPr>
            <w:r>
              <w:drawing>
                <wp:inline distT="0" distB="0" distL="0" distR="0">
                  <wp:extent cx="1552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52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rates in UF. Source: Central Bank of Chile (30-Jun-26); Mallplaza;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problem is the return on growth. Each new m² yields 6.9% on cost, a 5.0% real RONIC after tax, below a 7.2% real WACC. Expansion adds revenue but not value, so terminal value grows only with inflation (g of 3.0% nominal, 0% real) and a higher g lowers value (Figure 22). Assuming more growth would not close the gap with the price; it would widen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is why the explicit horizon includes the capex and ramp-up of projects opening through 2032 (108,301 m² of mature GLA in the terminal year), but from then on the model adds no new malls: terminal capex covers maintenance only (5.5% of revenue). This is not a conservative assumption against the company; at these returns, growing more would reduce its value.</w:t>
      </w:r>
    </w:p>
    <w:p>
      <w:pPr>
        <w:keepNext/>
        <w:pBdr>
          <w:bottom w:val="single" w:color="E9004B" w:sz="8" w:space="1"/>
        </w:pBdr>
        <w:spacing w:after="50" w:before="110"/>
        <w:ind w:right="3766"/>
      </w:pPr>
      <w:r>
        <w:rPr>
          <w:rFonts w:ascii="Arial" w:cs="Arial" w:eastAsia="Arial" w:hAnsi="Arial"/>
          <w:b/>
          <w:bCs/>
          <w:color w:val="14284B"/>
          <w:sz w:val="16"/>
          <w:szCs w:val="16"/>
        </w:rPr>
        <w:t xml:space="preserve">PEERS CONFIRM THE DIRECTION, NOT THE SIZE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trades at 16.8x EV/EBITDA, above the Chilean median (15.7x) and far above Brazilian peers (9.0x). The gap with Brazil is about rates, not quality: with local real bonds at 2.5% in Chile and 8.1% in Brazil (NTN-B), the cap-rate spread over the local rate is similar in both countries, 385 bp in Chile and 302 bp in Brazil (Figure 23). We therefore weight the Chilean median at 70% and the common-set median at 30% (which includes IRSA; we exclude Fibra Danhos for its FIBRA regime): 14.4x, giving CLP 2,951 per share. The weighting matters little: between 0% and 100% Chile, the target price only moves from CLP 1,916 to 2,144 (Appendix 17).</w:t>
      </w:r>
    </w:p>
    <w:tbl>
      <w:tblPr>
        <w:tblpPr w:leftFromText="0" w:rightFromText="0" w:topFromText="0" w:bottomFromText="0" w:tblpX="7116" w:tblpY="18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22: </w:t>
            </w:r>
            <w:r>
              <w:rPr>
                <w:rFonts w:ascii="Arial" w:cs="Arial" w:eastAsia="Arial" w:hAnsi="Arial"/>
                <w:color w:val="14284B"/>
                <w:sz w:val="14"/>
                <w:szCs w:val="14"/>
              </w:rPr>
              <w:t xml:space="preserve">Growing below the WACC destroys value: real g = 0%</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Top: DCF value by g. Bottom: relative terminal value by RONIC. Source: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Macro explains the difference. At 30-Jun-26 Brazil had a 14.25% Selic, a 14.34% nominal 10-year bond and 5.3% expected 2026 inflation, against a 4.5% policy rate, a 5.43% nominal bond and 4.1% inflation in Chile, with similar growth (2.0% and 1.6%). An investor in Brazil demands more from every asset, not just shopping malls; applying that discount to Mallplaza, which earns 71.8% of revenue in Chile, would penalise it for a risk it does not carry. Mallplaza's own spread (346 bp) is in fact tighter than the Chilean median (385 bp): investors already pay it a premium within Chile.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chose the set on the same basis as the beta. IRSA is kept with caution, since it reports under IAS 29 and its NTM consensus has a single analyst; Fibra Danhos is excluded because, as a FIBRA, it must distribute 95% of its taxable income and has no beta in the WACC. We use EV/EBITDA because it is neutral to leverage and to revaluation (IAS 40), and we measure everyone with Bloomberg net debt (CLP 1,311,569 million for Mallplaza, close to the CLP 1,285,740 million of net financial debt used in the DCF).</w:t>
      </w:r>
    </w:p>
    <w:tbl>
      <w:tblPr>
        <w:tblpPr w:leftFromText="0" w:rightFromText="0" w:topFromText="0" w:bottomFromText="0" w:tblpX="7116" w:tblpY="74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23: </w:t>
            </w:r>
            <w:r>
              <w:rPr>
                <w:rFonts w:ascii="Arial" w:cs="Arial" w:eastAsia="Arial" w:hAnsi="Arial"/>
                <w:color w:val="14284B"/>
                <w:sz w:val="14"/>
                <w:szCs w:val="14"/>
              </w:rPr>
              <w:t xml:space="preserve">Chile and Brazil charge the same premium: multiples differ because of rates</w:t>
            </w:r>
          </w:p>
          <w:p>
            <w:pPr>
              <w:keepNext w:val="false"/>
              <w:spacing w:after="20" w:before="0" w:line="240" w:lineRule="auto"/>
              <w:jc w:val="center"/>
            </w:pPr>
            <w:r>
              <w:drawing>
                <wp:inline distT="0" distB="0" distL="0" distR="0">
                  <wp:extent cx="1171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71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bond: 10Y UF (Central Bank of Chile) and NTN-B 2035 (8.08%) at 30-Jun-26. Spread = cap rate (1 / EV/EBITDA) − real bond. IRSA omitted (IAS 29). Source: Bloomberg; Central Bank of Chile;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Nor does quality justify the premium. Mallplaza trades 29% above Cencosud Shopping, yet its EBITDA per m² is only 1.8% higher (see Industry); only at Parque Arauco's multiple (18.4x), with 5.7x leverage, would it be worth more than its price. Every multiple, from EV/EBITDA NTM (CLP 2,914) to P/BV (CLP 3,171), sits below the price (Figure 24): multiples confirm the stock is expensive, and the DCF sets the size of the gap. We exclude P/E (CLP 8,644), distorted by property revaluation.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price terms: at the Chilean median alone the stock would be worth CLP 3,294 (−7%); at Cencosud's multiple, CLP 2,621; and only at Parque Arauco's, CLP 3,967. Defending CLP 3,555 with multiples requires assuming Mallplaza deserves the valuation of the most leveraged peer in the group. The forward view tells the same story: Mallplaza trades at 14.8x consensus NTM EBITDA against a 12.5x weighted peer multiple. We keep Brazil at 30% rather than zero because the Chilean median rests on only two companies.</w:t>
      </w:r>
    </w:p>
    <w:p>
      <w:pPr>
        <w:keepNext/>
        <w:pBdr>
          <w:bottom w:val="single" w:color="E9004B" w:sz="8" w:space="1"/>
        </w:pBdr>
        <w:spacing w:after="50" w:before="110"/>
        <w:ind w:right="3766"/>
      </w:pPr>
      <w:r>
        <w:rPr>
          <w:rFonts w:ascii="Arial" w:cs="Arial" w:eastAsia="Arial" w:hAnsi="Arial"/>
          <w:b/>
          <w:bCs/>
          <w:color w:val="14284B"/>
          <w:sz w:val="16"/>
          <w:szCs w:val="16"/>
        </w:rPr>
        <w:t xml:space="preserve">WHAT THE MARKET WOULD HAVE TO BELIEVE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price implies an EV of CLP 9.12 trillion, 69% above ours, and a 6.0% cap rate, against 10.1% in our DCF, 6.4% for Chilean peers and 7.5% at book value (Figure 25). The market pays 1.61x an equity base already at fair value, appraised at a ~5.55% real rate (Note 11): it pays more than the appraisers themselves. To justify CLP 3,555, the WACC would have to be 285 bp lower (Figure 26); even at the appraisers' rate, the DCF would be CLP 2,660.</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pushed the thesis to its extremes. In a bear case (WACC +100 bp and the 75.8% quarterly-low margin) the target falls to CLP 1,713; in a bull case combining WACC −100 bp, g of 2.5%, the 81.3% quarterly-peak margin and the cut in corporate tax to 23%, it rises to CLP 2,627, still 26% below the price. APV (CLP 1,894), a peso-bond Rf (~CLP 2,439) and other debt targets (DCF of CLP 1,819 to 1,894) lead to the same conclusion (Appendix 18).</w:t>
      </w:r>
    </w:p>
    <w:tbl>
      <w:tblPr>
        <w:tblpPr w:leftFromText="0" w:rightFromText="0" w:topFromText="0" w:bottomFromText="0" w:tblpX="7116" w:tblpY="-40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24: </w:t>
            </w:r>
            <w:r>
              <w:rPr>
                <w:rFonts w:ascii="Arial" w:cs="Arial" w:eastAsia="Arial" w:hAnsi="Arial"/>
                <w:color w:val="14284B"/>
                <w:sz w:val="14"/>
                <w:szCs w:val="14"/>
              </w:rPr>
              <w:t xml:space="preserve">Value implied by each peer's multiple vs DCF and price (CLP per share)</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Target = 80% DCF + 20% EV/EBITDA LTM. P/E excluded (includes revaluation). Source: Bloomberg (30-Sep-26);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APV also shows what the debt is really worth. Of its CLP 1,894 per share, CLP 1,632 is the unlevered firm and CLP 261 the tax shields of projected debt: levering up to 3.5x adds value, but even with it the price is far away. And our risk-free choice is the conservative one: using the peso bond (5.43%) and then adding country risk would count Chile risk twice, and even so the target price would only rise to ~CLP 2,439, 31% below the price. In other words, no reasonable choice of inputs rescues the current valuation; the gap is too wide to be a modelling artefact.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Calendar details do not change the outcome either. With an expected dividend of ~CLP 69 per share (2.0%), the expected total return is −39.7%. And since the DCF is dated 30-Jun-26 and the price 30-Sep-26, the comparison slightly favours the market: if the balance of the 2026 dividend (~CLP 27 per share) was already paid before that date, our value would be somewhat overstated, not understated.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brings us to CLP 2,076 (80% × 1,857 + 20% × 2,951): 10.8x EBITDA, a 9.3% cap rate and 0.94x book value. Rolling the DCF to 30-Sep-26 would lift it to ~CLP 2,118 without changing the call. The catalyst is the same force behind the thesis: with the 10Y UST at 5.22%, its highest since 2002, rates pressure cap rates, and each new appraisal moves them toward our value. We would be wrong if cap rates compress further on institutional demand for defensive assets, or if the market sustains a structural premium for Tier A assets (see Investment Risks).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What we will watch: the Note 11 appraisal at each reporting date (the real discount rate is the bridge between our value and book), the spread of the company's UF bonds over their 3.6% coupon (at the latest issue's 4.33% effective rate, the WACC would rise 12 bp and the target would fall to CLP 2,042), the cut in corporate tax to 23% (+5.1% on the target, not yet included) and the AAA rating, which would likely come under pressure at 3.5x net debt/EBITDA. In short, the operating story is sound; it is the price of that story that no longer adds up.</w:t>
      </w:r>
    </w:p>
    <w:p>
      <w:pPr>
        <w:keepNext w:val="false"/>
        <w:spacing w:before="12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trPr>
        <w:tc>
          <w:tcPr>
            <w:tcW w:type="dxa" w:w="522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25: </w:t>
            </w:r>
            <w:r>
              <w:rPr>
                <w:rFonts w:ascii="Arial" w:cs="Arial" w:eastAsia="Arial" w:hAnsi="Arial"/>
                <w:color w:val="14284B"/>
                <w:sz w:val="14"/>
                <w:szCs w:val="14"/>
              </w:rPr>
              <w:t xml:space="preserve">The market pays 6.0%; our cash flows are worth 10.1%</w:t>
            </w:r>
          </w:p>
          <w:p>
            <w:pPr>
              <w:keepNext w:val="false"/>
              <w:spacing w:after="20" w:before="0" w:line="240" w:lineRule="auto"/>
              <w:jc w:val="center"/>
            </w:pPr>
            <w:r>
              <w:drawing>
                <wp:inline distT="0" distB="0" distL="0" distR="0">
                  <wp:extent cx="33147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14700" cy="21526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Gran Plaza: subsequent event, not in the model. Source: Mallplaza; Bloomberg; DF; Team analysis.</w:t>
            </w:r>
          </w:p>
        </w:tc>
        <w:tc>
          <w:tcPr>
            <w:tcW w:type="dxa" w:w="216"/>
            <w:tcBorders>
              <w:top w:val="none" w:color="FFFFFF" w:sz="0"/>
              <w:left w:val="none" w:color="FFFFFF" w:sz="0"/>
              <w:bottom w:val="none" w:color="FFFFFF" w:sz="0"/>
              <w:right w:val="none" w:color="FFFFFF" w:sz="0"/>
            </w:tcBorders>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26: </w:t>
            </w:r>
            <w:r>
              <w:rPr>
                <w:rFonts w:ascii="Arial" w:cs="Arial" w:eastAsia="Arial" w:hAnsi="Arial"/>
                <w:color w:val="14284B"/>
                <w:sz w:val="14"/>
                <w:szCs w:val="14"/>
              </w:rPr>
              <w:t xml:space="preserve">The price requires a WACC 285 bp lower</w:t>
            </w:r>
          </w:p>
          <w:p>
            <w:pPr>
              <w:keepNext w:val="false"/>
              <w:spacing w:after="20" w:before="0" w:line="240" w:lineRule="auto"/>
              <w:jc w:val="center"/>
            </w:pPr>
            <w:r>
              <w:drawing>
                <wp:inline distT="0" distB="0" distL="0" distR="0">
                  <wp:extent cx="33147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14700" cy="23526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Team analysis.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INVESTMENT RISKS</w:t>
      </w:r>
    </w:p>
    <w:p>
      <w:pPr>
        <w:keepNext w:val="false"/>
        <w:shd w:fill="EEF1F6" w:color="auto" w:val="clear"/>
        <w:spacing w:after="80" w:before="0" w:line="228" w:lineRule="auto"/>
        <w:jc w:val="both"/>
      </w:pPr>
      <w:r>
        <w:rPr>
          <w:rFonts w:ascii="Arial" w:cs="Arial" w:eastAsia="Arial" w:hAnsi="Arial"/>
          <w:color w:val="1A1A1A"/>
          <w:sz w:val="16"/>
          <w:szCs w:val="16"/>
        </w:rPr>
        <w:t xml:space="preserve">Mallplaza's risk profile is moderate: its operations are resilient and value depends mainly on market variables. The main risk, with high likelihood, is a rise in long-term rates, which pushes up bond yields and the WACC. Not even the favourable scenarios justify the market price at the report date.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10"/>
            </w:pPr>
            <w:r>
              <w:rPr>
                <w:rFonts w:ascii="Arial" w:cs="Arial" w:eastAsia="Arial" w:hAnsi="Arial"/>
                <w:b/>
                <w:bCs/>
                <w:color w:val="14284B"/>
                <w:sz w:val="16"/>
                <w:szCs w:val="16"/>
              </w:rPr>
              <w:t xml:space="preserve">RISK ASSESSMENT</w:t>
            </w:r>
          </w:p>
          <w:p>
            <w:pPr>
              <w:keepNext w:val="false"/>
              <w:spacing w:after="40" w:before="0" w:line="228" w:lineRule="auto"/>
              <w:jc w:val="both"/>
            </w:pPr>
            <w:r>
              <w:rPr>
                <w:rFonts w:ascii="Arial" w:cs="Arial" w:eastAsia="Arial" w:hAnsi="Arial"/>
                <w:color w:val="1A1A1A"/>
                <w:sz w:val="16"/>
                <w:szCs w:val="16"/>
              </w:rPr>
              <w:t xml:space="preserve">Figure 27 classifies each risk by likelihood and by its impact on value per share (Figures 28 to 26). Risks that could not be quantified are classified according to the team's qualitative analysis of the company.</w:t>
            </w:r>
          </w:p>
          <w:p>
            <w:pPr>
              <w:keepNext w:val="false"/>
              <w:pBdr>
                <w:bottom w:val="single" w:color="E9004B" w:sz="8" w:space="1"/>
              </w:pBdr>
              <w:spacing w:after="50" w:before="110"/>
            </w:pPr>
            <w:r>
              <w:rPr>
                <w:rFonts w:ascii="Arial" w:cs="Arial" w:eastAsia="Arial" w:hAnsi="Arial"/>
                <w:b/>
                <w:bCs/>
                <w:color w:val="14284B"/>
                <w:sz w:val="16"/>
                <w:szCs w:val="16"/>
              </w:rPr>
              <w:t xml:space="preserve">OPERATIONAL RISKS</w:t>
            </w:r>
          </w:p>
          <w:p>
            <w:pPr>
              <w:keepNext w:val="false"/>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Operating deterioration. </w:t>
            </w:r>
            <w:r>
              <w:rPr>
                <w:rFonts w:ascii="Arial" w:cs="Arial" w:eastAsia="Arial" w:hAnsi="Arial"/>
                <w:color w:val="1A1A1A"/>
                <w:sz w:val="16"/>
                <w:szCs w:val="16"/>
              </w:rPr>
              <w:t xml:space="preserve">EBITDA margin, rents, footfall or occupancy falling to their historical lows. The worst case, a 75.8% margin, cuts DCF value to CLP 1,671 (−10.0%), and the historical floor of same-store rent growth takes it to CLP 1,782 (−4.0%) (Figure 28). </w:t>
            </w:r>
            <w:r>
              <w:rPr>
                <w:rFonts w:ascii="Arial" w:cs="Arial" w:eastAsia="Arial" w:hAnsi="Arial"/>
                <w:i/>
                <w:iCs/>
                <w:color w:val="5F5F5F"/>
                <w:sz w:val="16"/>
                <w:szCs w:val="16"/>
              </w:rPr>
              <w:t xml:space="preserve">(Non‑systematic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stable metrics: EBITDA margin rose from 76.2% (2022) to 80.5% (2025) and occupancy held between 95.5% and 96.6% in 2024-25. After COVID, 1Q22 revenue was already 18% above 1Q19.</w:t>
            </w:r>
          </w:p>
          <w:p>
            <w:pPr>
              <w:keepNext w:val="false"/>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Anchor stores. </w:t>
            </w:r>
            <w:r>
              <w:rPr>
                <w:rFonts w:ascii="Arial" w:cs="Arial" w:eastAsia="Arial" w:hAnsi="Arial"/>
                <w:color w:val="1A1A1A"/>
                <w:sz w:val="16"/>
                <w:szCs w:val="16"/>
              </w:rPr>
              <w:t xml:space="preserve">Anchors, mostly from the Falabella group, drive footfall. Shrinking or losing them would lower visits and rents from smaller stores. The impact ranges from −1.3% to −4.0% (Figure 28). </w:t>
            </w:r>
            <w:r>
              <w:rPr>
                <w:rFonts w:ascii="Arial" w:cs="Arial" w:eastAsia="Arial" w:hAnsi="Arial"/>
                <w:i/>
                <w:iCs/>
                <w:color w:val="5F5F5F"/>
                <w:sz w:val="16"/>
                <w:szCs w:val="16"/>
              </w:rPr>
              <w:t xml:space="preserve">(Non‑systematic · Low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long-term leases (average remaining term of 7.1 years) and a proven ability to convert anchor space into smaller stores with higher rent per m².</w:t>
            </w:r>
          </w:p>
          <w:p>
            <w:pPr>
              <w:keepNext w:val="false"/>
              <w:pBdr>
                <w:bottom w:val="single" w:color="E9004B" w:sz="8" w:space="1"/>
              </w:pBdr>
              <w:spacing w:after="50" w:before="110"/>
            </w:pPr>
            <w:r>
              <w:rPr>
                <w:rFonts w:ascii="Arial" w:cs="Arial" w:eastAsia="Arial" w:hAnsi="Arial"/>
                <w:b/>
                <w:bCs/>
                <w:color w:val="14284B"/>
                <w:sz w:val="16"/>
                <w:szCs w:val="16"/>
              </w:rPr>
              <w:t xml:space="preserve">FINANCIAL RISKS</w:t>
            </w:r>
          </w:p>
          <w:p>
            <w:pPr>
              <w:keepNext w:val="false"/>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Interest rates and cost of capital. </w:t>
            </w:r>
            <w:r>
              <w:rPr>
                <w:rFonts w:ascii="Arial" w:cs="Arial" w:eastAsia="Arial" w:hAnsi="Arial"/>
                <w:color w:val="1A1A1A"/>
                <w:sz w:val="16"/>
                <w:szCs w:val="16"/>
              </w:rPr>
              <w:t xml:space="preserve">Higher long-term rates would raise the WACC and the cost of refinancing debt and the pipeline. Likelihood is high: the 10Y UST moved from 4.98% (model Rf) to 5.22% on 8-Oct-26, a 24-year high (since 2002); the Fed hiked in September and the Central Bank of Chile reports rising local long-term rates. With WACC +50 bp and +100 bp, the target price falls 6.5% and 12.3% (Figure 29). </w:t>
            </w:r>
            <w:r>
              <w:rPr>
                <w:rFonts w:ascii="Arial" w:cs="Arial" w:eastAsia="Arial" w:hAnsi="Arial"/>
                <w:i/>
                <w:iCs/>
                <w:color w:val="5F5F5F"/>
                <w:sz w:val="16"/>
                <w:szCs w:val="16"/>
              </w:rPr>
              <w:t xml:space="preserve">(Systematic · High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79% of debt is fixed-rate in UF, with ~6.7 years of duration, 2.36x net debt/EBITDA and AA+/BBB ratings, which limit the pass-through to the cost of debt; UF-linked rents offset inflation. A higher cost of equity cannot be hedged.</w:t>
            </w:r>
          </w:p>
          <w:p>
            <w:pPr>
              <w:keepNext w:val="false"/>
              <w:pBdr>
                <w:bottom w:val="single" w:color="E9004B" w:sz="8" w:space="1"/>
              </w:pBdr>
              <w:spacing w:after="50" w:before="110"/>
            </w:pPr>
            <w:r>
              <w:rPr>
                <w:rFonts w:ascii="Arial" w:cs="Arial" w:eastAsia="Arial" w:hAnsi="Arial"/>
                <w:b/>
                <w:bCs/>
                <w:color w:val="14284B"/>
                <w:sz w:val="16"/>
                <w:szCs w:val="16"/>
              </w:rPr>
              <w:t xml:space="preserve">MARKET &amp; MACROECONOMIC RISKS</w:t>
            </w:r>
          </w:p>
          <w:p>
            <w:pPr>
              <w:keepNext w:val="false"/>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Inflation and macro cycle. </w:t>
            </w:r>
            <w:r>
              <w:rPr>
                <w:rFonts w:ascii="Arial" w:cs="Arial" w:eastAsia="Arial" w:hAnsi="Arial"/>
                <w:color w:val="1A1A1A"/>
                <w:sz w:val="16"/>
                <w:szCs w:val="16"/>
              </w:rPr>
              <w:t xml:space="preserve">79% of debt is in UF: a 3% higher UF takes CLP 38,691 million off accounting earnings (Note 26). On the target price, however, the effect is slightly positive: indexed rents add CLP 40.8 per share and the higher UF debt subtracts 17.7, a net +23.1 (+1.1%) (Figure 30). The risk is that weaker consumption prevents passing the UF through to rents: without that pass-through, UF +3% takes 0.9% off the target price. Weaker consumption also slows the new business lines (Appendix 20). </w:t>
            </w:r>
            <w:r>
              <w:rPr>
                <w:rFonts w:ascii="Arial" w:cs="Arial" w:eastAsia="Arial" w:hAnsi="Arial"/>
                <w:i/>
                <w:iCs/>
                <w:color w:val="5F5F5F"/>
                <w:sz w:val="16"/>
                <w:szCs w:val="16"/>
              </w:rPr>
              <w:t xml:space="preserve">(Systematic · High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UF-indexed rents, a model based on rent rather than sales, low (if rising) leverage and an active ability to rotate the portfolio.</w:t>
            </w:r>
          </w:p>
          <w:p>
            <w:pPr>
              <w:keepNext w:val="false"/>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E‑commerce. </w:t>
            </w:r>
            <w:r>
              <w:rPr>
                <w:rFonts w:ascii="Arial" w:cs="Arial" w:eastAsia="Arial" w:hAnsi="Arial"/>
                <w:color w:val="1A1A1A"/>
                <w:sz w:val="16"/>
                <w:szCs w:val="16"/>
              </w:rPr>
              <w:t xml:space="preserve">If consumption migrates massively online, malls lose footfall and appeal. E‑commerce in Chile exceeded US$10 billion in 2025, around 12.6% of retail sales. The worst traffic case only takes 1.3% off value (Figure 28). </w:t>
            </w:r>
            <w:r>
              <w:rPr>
                <w:rFonts w:ascii="Arial" w:cs="Arial" w:eastAsia="Arial" w:hAnsi="Arial"/>
                <w:i/>
                <w:iCs/>
                <w:color w:val="5F5F5F"/>
                <w:sz w:val="16"/>
                <w:szCs w:val="16"/>
              </w:rPr>
              <w:t xml:space="preserve">(Systematic · Low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the online channel is maturing with no visible effect on the model (visits +16% in 2025). Malls offer entertainment and dining, hard to replicate online.</w:t>
            </w:r>
          </w:p>
          <w:p>
            <w:pPr>
              <w:keepNext w:val="false"/>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Foreign exchange. </w:t>
            </w:r>
            <w:r>
              <w:rPr>
                <w:rFonts w:ascii="Arial" w:cs="Arial" w:eastAsia="Arial" w:hAnsi="Arial"/>
                <w:color w:val="1A1A1A"/>
                <w:sz w:val="16"/>
                <w:szCs w:val="16"/>
              </w:rPr>
              <w:t xml:space="preserve">Around 28% of revenue comes from Peru and Colombia, and the model assumes the sol rises from CLP 268 to 290 between 2026 and 2031. A 10% depreciation of the PEN and COP from 2027E takes 4.3% off DCF value, before hedges and the effect on local-currency debt (team estimate). </w:t>
            </w:r>
            <w:r>
              <w:rPr>
                <w:rFonts w:ascii="Arial" w:cs="Arial" w:eastAsia="Arial" w:hAnsi="Arial"/>
                <w:i/>
                <w:iCs/>
                <w:color w:val="5F5F5F"/>
                <w:sz w:val="16"/>
                <w:szCs w:val="16"/>
              </w:rPr>
              <w:t xml:space="preserve">(Systematic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Mallplaza raises debt in each country's currency and, where not possible, uses hedging derivatives (forwards, swaps and cross currency swaps) (Management Discussion 2Q26, p. 14).</w:t>
            </w:r>
          </w:p>
          <w:p>
            <w:pPr>
              <w:keepNext w:val="false"/>
              <w:pBdr>
                <w:bottom w:val="single" w:color="E9004B" w:sz="8" w:space="1"/>
              </w:pBdr>
              <w:spacing w:after="50" w:before="110"/>
            </w:pPr>
            <w:r>
              <w:rPr>
                <w:rFonts w:ascii="Arial" w:cs="Arial" w:eastAsia="Arial" w:hAnsi="Arial"/>
                <w:b/>
                <w:bCs/>
                <w:color w:val="14284B"/>
                <w:sz w:val="16"/>
                <w:szCs w:val="16"/>
              </w:rPr>
              <w:t xml:space="preserve">REGULATORY &amp; ESG RISKS</w:t>
            </w:r>
          </w:p>
          <w:p>
            <w:pPr>
              <w:keepNext w:val="false"/>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and conflicts of interest. </w:t>
            </w:r>
            <w:r>
              <w:rPr>
                <w:rFonts w:ascii="Arial" w:cs="Arial" w:eastAsia="Arial" w:hAnsi="Arial"/>
                <w:color w:val="1A1A1A"/>
                <w:sz w:val="16"/>
                <w:szCs w:val="16"/>
              </w:rPr>
              <w:t xml:space="preserve">Falabella controls 53.05% and leases space through Falabella, Sodimac and Tottus, which creates receivables with related parties. Fernando de Peña, Mallplaza's CEO for decades, has chaired Falabella since March 2026. Off-market contracts would directly affect rents and value. </w:t>
            </w:r>
            <w:r>
              <w:rPr>
                <w:rFonts w:ascii="Arial" w:cs="Arial" w:eastAsia="Arial" w:hAnsi="Arial"/>
                <w:i/>
                <w:iCs/>
                <w:color w:val="5F5F5F"/>
                <w:sz w:val="16"/>
                <w:szCs w:val="16"/>
              </w:rPr>
              <w:t xml:space="preserve">(Non‑systematic · Low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a three-member directors' committee and review of related-party transactions (Law 18,046). Even so, safeguards are limited: only 1 of 9 directors is independent.</w:t>
            </w:r>
          </w:p>
          <w:p>
            <w:pPr>
              <w:keepNext w:val="false"/>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Regulatory and political. </w:t>
            </w:r>
            <w:r>
              <w:rPr>
                <w:rFonts w:ascii="Arial" w:cs="Arial" w:eastAsia="Arial" w:hAnsi="Arial"/>
                <w:color w:val="1A1A1A"/>
                <w:sz w:val="16"/>
                <w:szCs w:val="16"/>
              </w:rPr>
              <w:t xml:space="preserve">Changes in tax, permitting and economic policy in all three countries. In Chile, the ruling coalition lacks a comfortable majority in the lower house for the rest of its agenda (El Dínamo, 11-Mar-26). In Peru, Fuerza Popular lacks a majority in the new bicameral Congress and the MEF puts the cost of laws passed by the previous Congress at up to S/ 50,000 million (El Comercio). In Colombia, the finance ministry puts the deficit at 7.8% of GDP and proposes spending cuts of at least 1% of GDP (El Tiempo, Jul-26), and the central bank raised its rate to 12.25% (30-Sep-26), which slows consumption. Permit delays push back the pipeline (USD 613 million, 170,200 m² to 2028). </w:t>
            </w:r>
            <w:r>
              <w:rPr>
                <w:rFonts w:ascii="Arial" w:cs="Arial" w:eastAsia="Arial" w:hAnsi="Arial"/>
                <w:i/>
                <w:iCs/>
                <w:color w:val="5F5F5F"/>
                <w:sz w:val="16"/>
                <w:szCs w:val="16"/>
              </w:rPr>
              <w:t xml:space="preserve">(Systematic · Medium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pro-investment agendas. In Chile, Kast signed the Reconstruction Law (9-Oct-26), which gradually cuts corporate tax from 27% to 23% from 2027 (Emol, 9-Oct-26), S&amp;P affirmed its A stable rating and Law 21,770 (Sep-25) shortens permitting. In Peru, the minimum-wage rise to S/ 1,300 and the doubling of Pensión 65 support consumption (Infobae, 28-Jul-26). Colombia contributes only ~11% of revenue. The model keeps 27%: the Chilean cut would add ~3.9% to the target price.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27: </w:t>
            </w:r>
            <w:r>
              <w:rPr>
                <w:rFonts w:ascii="Arial" w:cs="Arial" w:eastAsia="Arial" w:hAnsi="Arial"/>
                <w:color w:val="14284B"/>
                <w:sz w:val="14"/>
                <w:szCs w:val="14"/>
              </w:rPr>
              <w:t xml:space="preserve">Risk matrix</w:t>
            </w:r>
          </w:p>
          <w:p>
            <w:pPr>
              <w:keepNext w:val="false"/>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87642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Background colour = severity (likelihood × impact). Source: Team analysis.</w:t>
            </w:r>
          </w:p>
          <w:p>
            <w:pPr>
              <w:keepNext w:val="false"/>
              <w:spacing w:after="30" w:before="100" w:line="228" w:lineRule="auto"/>
            </w:pPr>
            <w:r>
              <w:rPr>
                <w:rFonts w:ascii="Arial" w:cs="Arial" w:eastAsia="Arial" w:hAnsi="Arial"/>
                <w:b/>
                <w:bCs/>
                <w:color w:val="14284B"/>
                <w:sz w:val="14"/>
                <w:szCs w:val="14"/>
              </w:rPr>
              <w:t xml:space="preserve">Figure 28: </w:t>
            </w:r>
            <w:r>
              <w:rPr>
                <w:rFonts w:ascii="Arial" w:cs="Arial" w:eastAsia="Arial" w:hAnsi="Arial"/>
                <w:color w:val="14284B"/>
                <w:sz w:val="14"/>
                <w:szCs w:val="14"/>
              </w:rPr>
              <w:t xml:space="preserve">Operational risk tornado (CLP per share)</w:t>
            </w:r>
          </w:p>
          <w:p>
            <w:pPr>
              <w:keepNext w:val="false"/>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9621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Limits = historical low and high of each driver: Mallplaza earnings releases 4Q23–2Q26 (EBITDA margin, occupancy, same-store rent and sales, visitors) and financial statements (maintenance capex 2024 and LTM 2Q26; appraisal growth range, Note 11). Terminal WACC 10.41% and g 3.0% held constant. Source: Mallplaza; Team analysis.</w:t>
            </w:r>
          </w:p>
          <w:p>
            <w:pPr>
              <w:keepNext w:val="false"/>
              <w:spacing w:after="30" w:before="100" w:line="228" w:lineRule="auto"/>
            </w:pPr>
            <w:r>
              <w:rPr>
                <w:rFonts w:ascii="Arial" w:cs="Arial" w:eastAsia="Arial" w:hAnsi="Arial"/>
                <w:b/>
                <w:bCs/>
                <w:color w:val="14284B"/>
                <w:sz w:val="14"/>
                <w:szCs w:val="14"/>
              </w:rPr>
              <w:t xml:space="preserve">Figure 29: </w:t>
            </w:r>
            <w:r>
              <w:rPr>
                <w:rFonts w:ascii="Arial" w:cs="Arial" w:eastAsia="Arial" w:hAnsi="Arial"/>
                <w:color w:val="14284B"/>
                <w:sz w:val="14"/>
                <w:szCs w:val="14"/>
              </w:rPr>
              <w:t xml:space="preserve">Target price sensitivity: WACC vs g (CLP)</w:t>
            </w:r>
          </w:p>
          <w:p>
            <w:pPr>
              <w:keepNext w:val="false"/>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5525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Target price = 80% DCF + 20% EV/EBITDA multiples (CLP 2,951). The g = 2.0% column uses the same formula as the Sensibilidad sheet. Source: Team analysis.</w:t>
            </w:r>
          </w:p>
          <w:p>
            <w:pPr>
              <w:keepNext w:val="false"/>
              <w:spacing w:after="30" w:before="100" w:line="228" w:lineRule="auto"/>
            </w:pPr>
            <w:r>
              <w:rPr>
                <w:rFonts w:ascii="Arial" w:cs="Arial" w:eastAsia="Arial" w:hAnsi="Arial"/>
                <w:b/>
                <w:bCs/>
                <w:color w:val="14284B"/>
                <w:sz w:val="14"/>
                <w:szCs w:val="14"/>
              </w:rPr>
              <w:t xml:space="preserve">Figure 30: </w:t>
            </w:r>
            <w:r>
              <w:rPr>
                <w:rFonts w:ascii="Arial" w:cs="Arial" w:eastAsia="Arial" w:hAnsi="Arial"/>
                <w:color w:val="14284B"/>
                <w:sz w:val="14"/>
                <w:szCs w:val="14"/>
              </w:rPr>
              <w:t xml:space="preserve">Target price sensitivity to a rise in the UF (CLP per share)</w:t>
            </w:r>
          </w:p>
          <w:p>
            <w:pPr>
              <w:keepNext w:val="false"/>
              <w:spacing w:after="20" w:before="0" w:line="240" w:lineRule="auto"/>
            </w:pPr>
            <w:r>
              <w:drawing>
                <wp:inline distT="0" distB="0" distL="0" distR="0">
                  <wp:extent cx="225742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57425" cy="12763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UF level shock from 2027E; WACC and g constant. Debt: net UF exposure from Note 26. Earnings: +3% reported; +1% and +2% extrapolated. Source: financial statements Jun-26, Note 26; Team analysis.</w:t>
            </w:r>
          </w:p>
        </w:tc>
      </w:tr>
    </w:tbl>
    <w:p>
      <w:pPr>
        <w:keepNext w:val="false"/>
        <w:spacing w:before="16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0666"/>
      </w:tblGrid>
      <w:tr>
        <w:trPr>
          <w:cantSplit/>
        </w:trPr>
        <w:tc>
          <w:tcPr>
            <w:tcW w:type="dxa" w:w="10666"/>
            <w:tcBorders>
              <w:top w:val="none" w:color="FFFFFF" w:sz="0"/>
              <w:left w:val="none" w:color="FFFFFF" w:sz="0"/>
              <w:bottom w:val="none" w:color="FFFFFF" w:sz="0"/>
              <w:right w:val="none" w:color="FFFFFF" w:sz="0"/>
            </w:tcBorders>
            <w:vAlign w:val="top"/>
          </w:tcPr>
          <w:p>
            <w:pPr>
              <w:keepNext w:val="false"/>
              <w:pBdr>
                <w:bottom w:val="single" w:color="14284B" w:sz="18" w:space="2"/>
              </w:pBdr>
              <w:spacing w:after="80"/>
            </w:pPr>
            <w:r>
              <w:rPr>
                <w:rFonts w:ascii="Arial" w:cs="Arial" w:eastAsia="Arial" w:hAnsi="Arial"/>
                <w:b/>
                <w:bCs/>
                <w:color w:val="14284B"/>
                <w:sz w:val="30"/>
                <w:szCs w:val="30"/>
              </w:rPr>
              <w:t xml:space="preserve">INVESTMENT SUMMARY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vAlign w:val="top"/>
                </w:tcPr>
                <w:p>
                  <w:pPr>
                    <w:keepNext w:val="false"/>
                    <w:pBdr>
                      <w:bottom w:val="single" w:color="E9004B" w:sz="8" w:space="1"/>
                    </w:pBdr>
                    <w:spacing w:after="50" w:before="20"/>
                  </w:pPr>
                  <w:r>
                    <w:rPr>
                      <w:rFonts w:ascii="Arial" w:cs="Arial" w:eastAsia="Arial" w:hAnsi="Arial"/>
                      <w:b/>
                      <w:bCs/>
                      <w:color w:val="14284B"/>
                      <w:sz w:val="16"/>
                      <w:szCs w:val="16"/>
                    </w:rPr>
                    <w:t xml:space="preserve">TO BE WRITTEN</w:t>
                  </w:r>
                </w:p>
                <w:p>
                  <w:pPr>
                    <w:keepNext w:val="false"/>
                    <w:spacing w:after="60"/>
                  </w:pPr>
                  <w:r>
                    <w:rPr>
                      <w:rFonts w:ascii="Arial" w:cs="Arial" w:eastAsia="Arial" w:hAnsi="Arial"/>
                      <w:i/>
                      <w:iCs/>
                      <w:color w:val="5F5F5F"/>
                      <w:sz w:val="16"/>
                      <w:szCs w:val="16"/>
                    </w:rPr>
                    <w:t xml:space="preserve">Recommendation and target price · Investment thesis · Valuation summary · Catalysts · Key risks.</w:t>
                  </w:r>
                </w:p>
                <w:p>
                  <w:pPr>
                    <w:keepNext w:val="false"/>
                    <w:spacing w:after="60"/>
                  </w:pPr>
                  <w:r>
                    <w:rPr>
                      <w:rFonts w:ascii="Arial" w:cs="Arial" w:eastAsia="Arial" w:hAnsi="Arial"/>
                      <w:i/>
                      <w:iCs/>
                      <w:color w:val="5F5F5F"/>
                      <w:sz w:val="16"/>
                      <w:szCs w:val="16"/>
                    </w:rPr>
                    <w:t xml:space="preserve">Section to be written by the team; the key data on the right already come from the models.</w:t>
                  </w:r>
                </w:p>
              </w:tc>
              <w:tc>
                <w:tcPr>
                  <w:tcW w:type="dxa" w:w="216"/>
                  <w:tcBorders>
                    <w:top w:val="none" w:color="FFFFFF" w:sz="0"/>
                    <w:left w:val="none" w:color="FFFFFF" w:sz="0"/>
                    <w:bottom w:val="none" w:color="FFFFFF" w:sz="0"/>
                    <w:right w:val="none" w:color="FFFFFF" w:sz="0"/>
                  </w:tcBorders>
                  <w:vAlign w:val="top"/>
                </w:tcPr>
                <w:p>
                  <w:pPr>
                    <w:keepNext w:val="false"/>
                  </w:pPr>
                </w:p>
              </w:tc>
              <w:tc>
                <w:tcPr>
                  <w:tcW w:type="dxa" w:w="3550"/>
                  <w:tcBorders>
                    <w:top w:val="none" w:color="FFFFFF" w:sz="0"/>
                    <w:left w:val="none" w:color="FFFFFF" w:sz="0"/>
                    <w:bottom w:val="none" w:color="FFFFFF" w:sz="0"/>
                    <w:right w:val="none" w:color="FFFFFF" w:sz="0"/>
                  </w:tcBorders>
                  <w:vAlign w:val="top"/>
                </w:tcPr>
                <w:p>
                  <w:pPr>
                    <w:keepNext w:val="false"/>
                    <w:pBdr>
                      <w:bottom w:val="single" w:color="E9004B" w:sz="8" w:space="1"/>
                    </w:pBdr>
                    <w:spacing w:after="50" w:before="20"/>
                  </w:pPr>
                  <w:r>
                    <w:rPr>
                      <w:rFonts w:ascii="Arial" w:cs="Arial" w:eastAsia="Arial" w:hAnsi="Arial"/>
                      <w:b/>
                      <w:bCs/>
                      <w:color w:val="14284B"/>
                      <w:sz w:val="16"/>
                      <w:szCs w:val="16"/>
                    </w:rPr>
                    <w:t xml:space="preserve">KEY DATA</w:t>
                  </w:r>
                </w:p>
                <w:tbl>
                  <w:tbl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1900"/>
                    <w:gridCol w:w="1650"/>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6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Recommendation</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SELL</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Target price (CLP)</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2,076</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Price 30-Sep-26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3,555</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Upside / downside</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−41.6%</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value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1,857 / 2,951</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weight</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80% / 20%</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Ticker</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MALLPLAZ CI</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cap (CLP bn)</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52-week range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Expected dividend 2027E (CLP)</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Net debt / LTM EBITDA 2Q26</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2.36x</w:t>
                        </w:r>
                      </w:p>
                    </w:tc>
                  </w:tr>
                </w:tbl>
                <w:p>
                  <w:pPr>
                    <w:keepNext w:val="false"/>
                    <w:spacing w:before="30"/>
                  </w:pPr>
                  <w:r>
                    <w:rPr>
                      <w:rFonts w:ascii="Arial" w:cs="Arial" w:eastAsia="Arial" w:hAnsi="Arial"/>
                      <w:color w:val="5F5F5F"/>
                      <w:sz w:val="11"/>
                      <w:szCs w:val="11"/>
                    </w:rPr>
                    <w:t xml:space="preserve">Source: valuation model v2; Bloomberg (52-week range); Team analysis.</w:t>
                  </w:r>
                </w:p>
              </w:tc>
            </w:tr>
          </w:tbl>
          <w:p>
            <w:pPr>
              <w:keepNext w:val="false"/>
            </w:pPr>
          </w:p>
        </w:tc>
      </w:tr>
    </w:tbl>
    <w:p>
      <w:pPr>
        <w:sectPr>
          <w:headerReference w:type="default" r:id="rId7"/>
          <w:footerReference w:type="default" r:id="rId8"/>
          <w:type w:val="nextPage"/>
          <w:pgSz w:w="11906" w:h="16838" w:orient="portrait"/>
          <w:pgMar w:top="1000" w:right="620" w:bottom="900" w:left="620" w:header="450" w:footer="400" w:gutter="0"/>
          <w:pgNumType w:start="1"/>
          <w:docGrid w:linePitch="360"/>
        </w:sectPr>
      </w:pPr>
    </w:p>
    <w:p>
      <w:pPr>
        <w:keepNext w:val="false"/>
        <w:pBdr>
          <w:bottom w:val="single" w:color="14284B" w:sz="18" w:space="2"/>
        </w:pBdr>
        <w:spacing w:after="80"/>
      </w:pPr>
      <w:r>
        <w:rPr>
          <w:rFonts w:ascii="Arial" w:cs="Arial" w:eastAsia="Arial" w:hAnsi="Arial"/>
          <w:b/>
          <w:bCs/>
          <w:color w:val="14284B"/>
          <w:sz w:val="30"/>
          <w:szCs w:val="30"/>
        </w:rPr>
        <w:t xml:space="preserve">APPENDICES: BUSINESS DESCRIPTION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1: </w:t>
            </w:r>
            <w:r>
              <w:rPr>
                <w:rFonts w:ascii="Arial" w:cs="Arial" w:eastAsia="Arial" w:hAnsi="Arial"/>
                <w:color w:val="14284B"/>
                <w:sz w:val="14"/>
                <w:szCs w:val="14"/>
              </w:rPr>
              <w:t xml:space="preserve">Tier A assets by GLA, 2Q26 (thousand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(p.12). Tier A = 46.4% of total GLA.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2: </w:t>
            </w:r>
            <w:r>
              <w:rPr>
                <w:rFonts w:ascii="Arial" w:cs="Arial" w:eastAsia="Arial" w:hAnsi="Arial"/>
                <w:color w:val="14284B"/>
                <w:sz w:val="14"/>
                <w:szCs w:val="14"/>
              </w:rPr>
              <w:t xml:space="preserve">Department stores, % of total GLA</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(p.17).</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INDUSTRY OVERVIEW AND COMPETITIVE POSITIONING</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3: </w:t>
            </w:r>
            <w:r>
              <w:rPr>
                <w:rFonts w:ascii="Arial" w:cs="Arial" w:eastAsia="Arial" w:hAnsi="Arial"/>
                <w:color w:val="14284B"/>
                <w:sz w:val="14"/>
                <w:szCs w:val="14"/>
              </w:rPr>
              <w:t xml:space="preserve">GLA pipeline 2026-2028: organic vs acquisitions (m²)</w:t>
            </w:r>
            <w:r>
              <w:br/>
            </w: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15144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2Q26 reports and 2025 Annual Report; Parque Arauco Investor Presentation 2Q26; Cenco Malls Corporate Presentation 2Q26. Dated projects only.</w:t>
            </w:r>
          </w:p>
          <w:p>
            <w:pPr>
              <w:keepNext w:val="false"/>
              <w:keepLines/>
              <w:spacing w:after="20" w:before="90" w:line="240" w:lineRule="auto"/>
            </w:pPr>
            <w:r>
              <w:rPr>
                <w:rFonts w:ascii="Arial" w:cs="Arial" w:eastAsia="Arial" w:hAnsi="Arial"/>
                <w:b/>
                <w:bCs/>
                <w:color w:val="14284B"/>
                <w:sz w:val="14"/>
                <w:szCs w:val="14"/>
              </w:rPr>
              <w:t xml:space="preserve">Appendix 5: </w:t>
            </w:r>
            <w:r>
              <w:rPr>
                <w:rFonts w:ascii="Arial" w:cs="Arial" w:eastAsia="Arial" w:hAnsi="Arial"/>
                <w:color w:val="14284B"/>
                <w:sz w:val="14"/>
                <w:szCs w:val="14"/>
              </w:rPr>
              <w:t xml:space="preserve">Market share within the trio in Chile, 2Q22-2Q26 (% of GLA)</w:t>
            </w:r>
            <w:r>
              <w:br/>
            </w:r>
            <w:r>
              <w:drawing>
                <wp:inline distT="0" distB="0" distL="0" distR="0">
                  <wp:extent cx="22574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7430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2Q22-2Q26 earnings reports of the three companies;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4: </w:t>
            </w:r>
            <w:r>
              <w:rPr>
                <w:rFonts w:ascii="Arial" w:cs="Arial" w:eastAsia="Arial" w:hAnsi="Arial"/>
                <w:color w:val="14284B"/>
                <w:sz w:val="14"/>
                <w:szCs w:val="14"/>
              </w:rPr>
              <w:t xml:space="preserve">Consolidated occupancy rate, 2Q22-2Q26</w:t>
            </w:r>
            <w:r>
              <w:br/>
            </w: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257425" cy="15144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2Q22-2Q26 earnings reports of the three companies. Each company defines occupancy differently; Mallplaza includes Open Plaza since 2Q25.</w:t>
            </w:r>
          </w:p>
        </w:tc>
      </w:tr>
    </w:tbl>
    <w:p>
      <w:pPr>
        <w:keepNext w:val="false"/>
        <w:spacing w:after="30" w:before="140" w:line="228" w:lineRule="auto"/>
      </w:pPr>
      <w:r>
        <w:rPr>
          <w:rFonts w:ascii="Arial" w:cs="Arial" w:eastAsia="Arial" w:hAnsi="Arial"/>
          <w:b/>
          <w:bCs/>
          <w:color w:val="14284B"/>
          <w:sz w:val="14"/>
          <w:szCs w:val="14"/>
        </w:rPr>
        <w:t xml:space="preserve">Appendix 6: </w:t>
      </w:r>
      <w:r>
        <w:rPr>
          <w:rFonts w:ascii="Arial" w:cs="Arial" w:eastAsia="Arial" w:hAnsi="Arial"/>
          <w:color w:val="14284B"/>
          <w:sz w:val="14"/>
          <w:szCs w:val="14"/>
        </w:rPr>
        <w:t xml:space="preserve">Porter's five forces by country and key evidence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700"/>
        <w:gridCol w:w="620"/>
        <w:gridCol w:w="620"/>
        <w:gridCol w:w="800"/>
        <w:gridCol w:w="620"/>
        <w:gridCol w:w="6306"/>
      </w:tblGrid>
      <w:tr>
        <w:trPr>
          <w:tblHeader/>
        </w:trPr>
        <w:tc>
          <w:tcPr>
            <w:tcW w:type="dxa" w:w="1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Force</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Chile</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Peru</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Colombia</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Final</w:t>
            </w:r>
          </w:p>
        </w:tc>
        <w:tc>
          <w:tcPr>
            <w:tcW w:type="dxa" w:w="63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Key evidence</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Rivalry</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CR3 76% / 37% / 13%; race to reinvest in experience; asset acquisitions (Minka, Plaza Central; Quilín and Chicureo announced); supply above consumption in 2027-28. Stable shares and margins of 71-90%.</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New entrants</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63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Capital-intensive (USD 613 million for 170,200 m² at Mallplaza); incumbents' land banks; Peru and Colombia less concentrated; most malls in Colombia are strata-titled (multi-owner).</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Bargaining power of tenants</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occupancy 96-99%; average lease terms of 5.0-8.7 years; top 5 = 18% of Mallplaza revenue; Chile SSR above CPI (6.9% vs 4.8%, 1Q23-2Q26); department stores 19.0% of GLA.</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Bargaining power of suppliers</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63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Common-area expenses passed through to tenants (2025 Annual Report, note 2.20); cost of sales 6.2% of Mallplaza revenue.</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Substitutes</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93% of Mallplaza rental income is fixed; 2Q26 visits +4.4% Chile, +1.3% Peru, +2.5% Colombia; shift toward experience. No official e-commerce data by country.</w:t>
            </w:r>
          </w:p>
        </w:tc>
      </w:tr>
    </w:tbl>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team analysis. 1-5 scale in whole numbers; final score = weighted average by Mallplaza GLA as of 2Q26 (Chile 61.9%, Peru 26.2%, Colombia 11.9%), rounded to the nearest integer. For new entrants, the weighted score sits at the threshold (1.5) and the team sets it at 2 given lower barriers to entry in Peru and Colombia. Detail and sources for each data point in Porter_industria_2Q26.xlsx.</w:t>
      </w:r>
    </w:p>
    <w:p>
      <w:pPr>
        <w:keepNext w:val="false"/>
        <w:spacing w:after="30" w:before="140" w:line="228" w:lineRule="auto"/>
      </w:pPr>
      <w:r>
        <w:rPr>
          <w:rFonts w:ascii="Arial" w:cs="Arial" w:eastAsia="Arial" w:hAnsi="Arial"/>
          <w:b/>
          <w:bCs/>
          <w:color w:val="14284B"/>
          <w:sz w:val="14"/>
          <w:szCs w:val="14"/>
        </w:rPr>
        <w:t xml:space="preserve">Appendix 7: </w:t>
      </w:r>
      <w:r>
        <w:rPr>
          <w:rFonts w:ascii="Arial" w:cs="Arial" w:eastAsia="Arial" w:hAnsi="Arial"/>
          <w:color w:val="14284B"/>
          <w:sz w:val="14"/>
          <w:szCs w:val="14"/>
        </w:rPr>
        <w:t xml:space="preserve">Key assumptions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700"/>
        <w:gridCol w:w="8966"/>
      </w:tblGrid>
      <w:tr>
        <w:trPr>
          <w:tblHeader/>
        </w:trPr>
        <w:tc>
          <w:tcPr>
            <w:tcW w:type="dxa" w:w="1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Topic</w:t>
            </w:r>
          </w:p>
        </w:tc>
        <w:tc>
          <w:tcPr>
            <w:tcW w:type="dxa" w:w="89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share</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Measured by GLA (not by sales) across the main operators in each country (slide 7, Institutional Presentation 2Q26). Partial HHI: it is a floor.</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Pipeline</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Only projects with dates in official reports as of 2Q26 and the 2025 Annual Report; for date ranges, the end of the range is used; acquisitions are not new supply for the industry.</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Supply vs demand</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only and only consumption-dependent m² (excludes offices and multifamily); base GLA excludes Cenco's offices. Private consumption from the Sep-2026 IPoM is used as a demand indicator, not as a sales forecast.</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EBITDA per m²</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as defined by each company (none includes IAS 40 revaluation gains); 2Q26 EBITDA not annualized; consolidated GLA at 100% of controlled assets.</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Leases</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Profile and term weighted by GLA: explicit for Cenco and in Parque Arauco's profile; assumption for Mallplaza.</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sales</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tenant sales 2Q26 vs 2Q25 deflated by 12-month CPI as of June 2026 (4.3%; INE, release dated July 8, 2026). Cenco 2Q25 calculated from its published change (−1.9%).</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Dates</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Company data as of June 30, 2026; macro projections from the September 2026 IPoM, as the most recent available.</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APPENDIX 8: CORPORATE GOVERNANCE AND SUSTAINABILITY</w:t>
      </w:r>
    </w:p>
    <w:p>
      <w:pPr>
        <w:keepNext w:val="false"/>
        <w:shd w:fill="EEF1F6" w:color="auto" w:val="clear"/>
        <w:spacing w:after="80" w:line="228" w:lineRule="auto"/>
        <w:jc w:val="both"/>
      </w:pPr>
      <w:r>
        <w:rPr>
          <w:rFonts w:ascii="Arial" w:cs="Arial" w:eastAsia="Arial" w:hAnsi="Arial"/>
          <w:color w:val="1A1A1A"/>
          <w:sz w:val="16"/>
          <w:szCs w:val="16"/>
        </w:rPr>
        <w:t xml:space="preserve">Supporting information for the ESG section: ownership structure, Board of Directors, compliance, stakeholder engagement model, organisational culture and waste. Main source: Mallplaza Annual Report 2025.</w:t>
      </w:r>
    </w:p>
    <w:p>
      <w:pPr>
        <w:keepNext w:val="false"/>
        <w:pBdr>
          <w:bottom w:val="single" w:color="E9004B" w:sz="8" w:space="1"/>
        </w:pBdr>
        <w:spacing w:after="50" w:before="60"/>
      </w:pPr>
      <w:r>
        <w:rPr>
          <w:rFonts w:ascii="Arial" w:cs="Arial" w:eastAsia="Arial" w:hAnsi="Arial"/>
          <w:b/>
          <w:bCs/>
          <w:color w:val="14284B"/>
          <w:sz w:val="16"/>
          <w:szCs w:val="16"/>
        </w:rPr>
        <w:t xml:space="preserve">1. OWNERSHIP STRUCTURE (31-DEC-2025)</w:t>
      </w:r>
    </w:p>
    <w:p>
      <w:pPr>
        <w:keepNext w:val="false"/>
        <w:spacing w:after="30" w:before="20" w:line="228" w:lineRule="auto"/>
      </w:pPr>
      <w:r>
        <w:rPr>
          <w:rFonts w:ascii="Arial" w:cs="Arial" w:eastAsia="Arial" w:hAnsi="Arial"/>
          <w:b/>
          <w:bCs/>
          <w:color w:val="14284B"/>
          <w:sz w:val="14"/>
          <w:szCs w:val="14"/>
        </w:rPr>
        <w:t xml:space="preserve">Figure 8.1: </w:t>
      </w:r>
      <w:r>
        <w:rPr>
          <w:rFonts w:ascii="Arial" w:cs="Arial" w:eastAsia="Arial" w:hAnsi="Arial"/>
          <w:color w:val="14284B"/>
          <w:sz w:val="14"/>
          <w:szCs w:val="14"/>
        </w:rPr>
        <w:t xml:space="preserve">Shareholding by type of shareholder</w:t>
      </w:r>
    </w:p>
    <w:p>
      <w:pPr>
        <w:keepNext w:val="false"/>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772275" cy="9144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 (NCG 461 2.3.3). No ADRs or certificates issued abroad.</w:t>
      </w:r>
    </w:p>
    <w:p>
      <w:pPr>
        <w:keepNext w:val="false"/>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Ten largest shareholders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Shares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 of shares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53.05%</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Santiago Stock Exchange</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Provida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Banco Santander on behalf of foreign investors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Capital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1.37%</w:t>
            </w:r>
          </w:p>
        </w:tc>
      </w:tr>
    </w:tbl>
    <w:p>
      <w:pPr>
        <w:keepNext w:val="false"/>
        <w:pBdr>
          <w:bottom w:val="single" w:color="E9004B" w:sz="8" w:space="1"/>
        </w:pBdr>
        <w:spacing w:after="50" w:before="160"/>
      </w:pPr>
      <w:r>
        <w:rPr>
          <w:rFonts w:ascii="Arial" w:cs="Arial" w:eastAsia="Arial" w:hAnsi="Arial"/>
          <w:b/>
          <w:bCs/>
          <w:color w:val="14284B"/>
          <w:sz w:val="16"/>
          <w:szCs w:val="16"/>
        </w:rPr>
        <w:t xml:space="preserve">2. BOARD OF DIRECTORS (ELECTED 22-APR-2025)</w:t>
      </w:r>
    </w:p>
    <w:p>
      <w:pPr>
        <w:keepNext w:val="false"/>
        <w:spacing w:after="30" w:before="20" w:line="228" w:lineRule="auto"/>
      </w:pPr>
      <w:r>
        <w:rPr>
          <w:rFonts w:ascii="Arial" w:cs="Arial" w:eastAsia="Arial" w:hAnsi="Arial"/>
          <w:b/>
          <w:bCs/>
          <w:color w:val="14284B"/>
          <w:sz w:val="14"/>
          <w:szCs w:val="14"/>
        </w:rPr>
        <w:t xml:space="preserve">Figure 8.2: </w:t>
      </w:r>
      <w:r>
        <w:rPr>
          <w:rFonts w:ascii="Arial" w:cs="Arial" w:eastAsia="Arial" w:hAnsi="Arial"/>
          <w:color w:val="14284B"/>
          <w:sz w:val="14"/>
          <w:szCs w:val="14"/>
        </w:rPr>
        <w:t xml:space="preserve">Board members (red: independent director; blue: chairman)</w:t>
      </w:r>
    </w:p>
    <w:p>
      <w:pPr>
        <w:keepNext w:val="false"/>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772275" cy="16002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9 full members, no alternates; one independent director. Each director holds at most four positions in other listed companies. Tomás Müller, Manuela Sánchez and Juan Pablo Montero were directors until 22-Apr-2025.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3. ETHICS AND COMPLIANCE,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Matter</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Cases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Breaches of laws and regulations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Corruption</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customer rights (Consumer Protection Law 19,496)</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employee rights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Proceedings by the Environment Superintendency</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Complaints of workplace, sexual harassment and violence at work</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8</w:t>
            </w:r>
          </w:p>
        </w:tc>
      </w:tr>
    </w:tbl>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4. STAKEHOLDER ENGAGEMENT MODEL</w:t>
      </w:r>
    </w:p>
    <w:p>
      <w:pPr>
        <w:keepNext w:val="false"/>
        <w:spacing w:after="30" w:before="20" w:line="228" w:lineRule="auto"/>
      </w:pPr>
      <w:r>
        <w:rPr>
          <w:rFonts w:ascii="Arial" w:cs="Arial" w:eastAsia="Arial" w:hAnsi="Arial"/>
          <w:b/>
          <w:bCs/>
          <w:color w:val="14284B"/>
          <w:sz w:val="14"/>
          <w:szCs w:val="14"/>
        </w:rPr>
        <w:t xml:space="preserve">Figure 8.3: </w:t>
      </w:r>
      <w:r>
        <w:rPr>
          <w:rFonts w:ascii="Arial" w:cs="Arial" w:eastAsia="Arial" w:hAnsi="Arial"/>
          <w:color w:val="14284B"/>
          <w:sz w:val="14"/>
          <w:szCs w:val="14"/>
        </w:rPr>
        <w:t xml:space="preserve">Implementation process of the engagement model</w:t>
      </w:r>
    </w:p>
    <w:p>
      <w:pPr>
        <w:keepNext w:val="false"/>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772275" cy="10477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5. ORGANISATIONAL CULTURE: 2025 CULTURE SURVEY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E9004B"/>
                <w:sz w:val="30"/>
                <w:szCs w:val="30"/>
              </w:rPr>
              <w:t xml:space="preserve">75%</w:t>
            </w:r>
          </w:p>
          <w:p>
            <w:pPr>
              <w:keepNext w:val="false"/>
              <w:spacing w:after="10"/>
            </w:pPr>
            <w:r>
              <w:rPr>
                <w:rFonts w:ascii="Arial" w:cs="Arial" w:eastAsia="Arial" w:hAnsi="Arial"/>
                <w:b/>
                <w:bCs/>
                <w:color w:val="14284B"/>
                <w:sz w:val="14"/>
                <w:szCs w:val="14"/>
              </w:rPr>
              <w:t xml:space="preserve">Engagement</w:t>
            </w:r>
          </w:p>
          <w:p>
            <w:pPr>
              <w:keepNext w:val="false"/>
            </w:pPr>
            <w:r>
              <w:rPr>
                <w:rFonts w:ascii="Arial" w:cs="Arial" w:eastAsia="Arial" w:hAnsi="Arial"/>
                <w:color w:val="5F5F5F"/>
                <w:sz w:val="12"/>
                <w:szCs w:val="12"/>
              </w:rPr>
              <w:t xml:space="preserve">−2 pp vs 2024 · 2025 target: 80%</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37</w:t>
            </w:r>
          </w:p>
          <w:p>
            <w:pPr>
              <w:keepNext w:val="false"/>
              <w:spacing w:after="10"/>
            </w:pPr>
            <w:r>
              <w:rPr>
                <w:rFonts w:ascii="Arial" w:cs="Arial" w:eastAsia="Arial" w:hAnsi="Arial"/>
                <w:b/>
                <w:bCs/>
                <w:color w:val="14284B"/>
                <w:sz w:val="14"/>
                <w:szCs w:val="14"/>
              </w:rPr>
              <w:t xml:space="preserve">eNPS</w:t>
            </w:r>
          </w:p>
          <w:p>
            <w:pPr>
              <w:keepNext w:val="false"/>
            </w:pPr>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88%</w:t>
            </w:r>
          </w:p>
          <w:p>
            <w:pPr>
              <w:keepNext w:val="false"/>
              <w:spacing w:after="10"/>
            </w:pPr>
            <w:r>
              <w:rPr>
                <w:rFonts w:ascii="Arial" w:cs="Arial" w:eastAsia="Arial" w:hAnsi="Arial"/>
                <w:b/>
                <w:bCs/>
                <w:color w:val="14284B"/>
                <w:sz w:val="14"/>
                <w:szCs w:val="14"/>
              </w:rPr>
              <w:t xml:space="preserve">Leadership</w:t>
            </w:r>
          </w:p>
          <w:p>
            <w:pPr>
              <w:keepNext w:val="false"/>
            </w:pPr>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93%</w:t>
            </w:r>
          </w:p>
          <w:p>
            <w:pPr>
              <w:keepNext w:val="false"/>
              <w:spacing w:after="10"/>
            </w:pPr>
            <w:r>
              <w:rPr>
                <w:rFonts w:ascii="Arial" w:cs="Arial" w:eastAsia="Arial" w:hAnsi="Arial"/>
                <w:b/>
                <w:bCs/>
                <w:color w:val="14284B"/>
                <w:sz w:val="14"/>
                <w:szCs w:val="14"/>
              </w:rPr>
              <w:t xml:space="preserve">Participation</w:t>
            </w:r>
          </w:p>
          <w:p>
            <w:pPr>
              <w:keepNext w:val="false"/>
            </w:pPr>
            <w:r>
              <w:rPr>
                <w:rFonts w:ascii="Arial" w:cs="Arial" w:eastAsia="Arial" w:hAnsi="Arial"/>
                <w:color w:val="5F5F5F"/>
                <w:sz w:val="12"/>
                <w:szCs w:val="12"/>
              </w:rPr>
              <w:t xml:space="preserve">+3 pp vs 2024</w:t>
            </w:r>
          </w:p>
        </w:tc>
      </w:tr>
    </w:tbl>
    <w:p>
      <w:pPr>
        <w:keepNext w:val="false"/>
        <w:spacing w:after="0" w:before="10" w:line="216" w:lineRule="auto"/>
      </w:pPr>
      <w:r>
        <w:rPr>
          <w:rFonts w:ascii="Arial" w:cs="Arial" w:eastAsia="Arial" w:hAnsi="Arial"/>
          <w:color w:val="5F5F5F"/>
          <w:sz w:val="11"/>
          <w:szCs w:val="11"/>
        </w:rPr>
        <w:t xml:space="preserve">Leadership (88%) is the main asset to leverage the strategy.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6. WASTE,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20" w:line="228" w:lineRule="auto"/>
            </w:pPr>
            <w:r>
              <w:rPr>
                <w:rFonts w:ascii="Arial" w:cs="Arial" w:eastAsia="Arial" w:hAnsi="Arial"/>
                <w:b/>
                <w:bCs/>
                <w:color w:val="14284B"/>
                <w:sz w:val="14"/>
                <w:szCs w:val="14"/>
              </w:rPr>
              <w:t xml:space="preserve">Figure 8.4: </w:t>
            </w:r>
            <w:r>
              <w:rPr>
                <w:rFonts w:ascii="Arial" w:cs="Arial" w:eastAsia="Arial" w:hAnsi="Arial"/>
                <w:color w:val="14284B"/>
                <w:sz w:val="14"/>
                <w:szCs w:val="14"/>
              </w:rPr>
              <w:t xml:space="preserve">Waste generation by country</w:t>
            </w:r>
          </w:p>
          <w:p>
            <w:pPr>
              <w:keepNext w:val="false"/>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14700" cy="13239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200"/>
            </w:pPr>
          </w:p>
          <w:p>
            <w:pPr>
              <w:keepNext w:val="false"/>
              <w:spacing w:after="80" w:before="0" w:line="228" w:lineRule="auto"/>
              <w:jc w:val="both"/>
            </w:pPr>
            <w:r>
              <w:rPr>
                <w:rFonts w:ascii="Arial" w:cs="Arial" w:eastAsia="Arial" w:hAnsi="Arial"/>
                <w:b/>
                <w:bCs/>
                <w:color w:val="14284B"/>
                <w:sz w:val="16"/>
                <w:szCs w:val="16"/>
              </w:rPr>
              <w:t xml:space="preserve">32,424.86 tonnes</w:t>
            </w:r>
            <w:r>
              <w:rPr>
                <w:rFonts w:ascii="Arial" w:cs="Arial" w:eastAsia="Arial" w:hAnsi="Arial"/>
                <w:color w:val="1A1A1A"/>
                <w:sz w:val="16"/>
                <w:szCs w:val="16"/>
              </w:rPr>
              <w:t xml:space="preserve"> of waste across the region: 76% in Chile, 16% in Colombia and 7% in Peru.</w:t>
            </w:r>
          </w:p>
          <w:p>
            <w:pPr>
              <w:keepNext w:val="false"/>
              <w:spacing w:after="80" w:before="0" w:line="228" w:lineRule="auto"/>
              <w:jc w:val="both"/>
            </w:pPr>
            <w:r>
              <w:rPr>
                <w:rFonts w:ascii="Arial" w:cs="Arial" w:eastAsia="Arial" w:hAnsi="Arial"/>
                <w:b/>
                <w:bCs/>
                <w:color w:val="14284B"/>
                <w:sz w:val="16"/>
                <w:szCs w:val="16"/>
              </w:rPr>
              <w:t xml:space="preserve">46.2% recovered:</w:t>
            </w:r>
            <w:r>
              <w:rPr>
                <w:rFonts w:ascii="Arial" w:cs="Arial" w:eastAsia="Arial" w:hAnsi="Arial"/>
                <w:color w:val="1A1A1A"/>
                <w:sz w:val="16"/>
                <w:szCs w:val="16"/>
              </w:rPr>
              <w:t xml:space="preserve"> 14,987.57 t of non-hazardous waste went to energy recovery through biogas (40.4%), recycling (36.1%) and composting (23.5%); the rest went to disposal, mainly sanitary landfills.</w:t>
            </w:r>
          </w:p>
          <w:p>
            <w:pPr>
              <w:keepNext w:val="false"/>
              <w:spacing w:after="80" w:before="0" w:line="228" w:lineRule="auto"/>
              <w:jc w:val="both"/>
            </w:pPr>
            <w:r>
              <w:rPr>
                <w:rFonts w:ascii="Arial" w:cs="Arial" w:eastAsia="Arial" w:hAnsi="Arial"/>
                <w:b/>
                <w:bCs/>
                <w:color w:val="14284B"/>
                <w:sz w:val="16"/>
                <w:szCs w:val="16"/>
              </w:rPr>
              <w:t xml:space="preserve">Hazardous waste:</w:t>
            </w:r>
            <w:r>
              <w:rPr>
                <w:rFonts w:ascii="Arial" w:cs="Arial" w:eastAsia="Arial" w:hAnsi="Arial"/>
                <w:color w:val="1A1A1A"/>
                <w:sz w:val="16"/>
                <w:szCs w:val="16"/>
              </w:rPr>
              <w:t xml:space="preserve"> 9.03 t, a marginal amount given the nature of the business.</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FINANCIAL ANALYSIS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9: </w:t>
            </w:r>
            <w:r>
              <w:rPr>
                <w:rFonts w:ascii="Arial" w:cs="Arial" w:eastAsia="Arial" w:hAnsi="Arial"/>
                <w:color w:val="14284B"/>
                <w:sz w:val="14"/>
                <w:szCs w:val="14"/>
              </w:rPr>
              <w:t xml:space="preserve">Forecast assumptions (nominal CLP,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150"/>
              <w:gridCol w:w="2250"/>
              <w:gridCol w:w="1375"/>
              <w:gridCol w:w="450"/>
            </w:tblGrid>
            <w:tr>
              <w:trPr>
                <w:tblHeader/>
              </w:trPr>
              <w:tc>
                <w:tcPr>
                  <w:tcW w:type="dxa" w:w="11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Driver</w:t>
                  </w:r>
                </w:p>
              </w:tc>
              <w:tc>
                <w:tcPr>
                  <w:tcW w:type="dxa" w:w="22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Assumption</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Basis</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Tag</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2026E anchor</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actual + 2H26E repeating 1H26 local-currency growth (Chile 6.1%, Peru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Interim FS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Inflation</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Consensus CPI 2026–28; central-bank targets from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Leases indexed to UF/CPI</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Real same-store growth (ex-parking)</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1.5% → 0.6%; Peru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Midpoints of company appraisal ranges (Note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Occupancy</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96.1%, Colombia 97.5% flat; Peru 93.8% → 94.6% by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actual; Peru back to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Parking</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12.1% / 6.4% / 9.0% of 2026 revenue; real growth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(LTM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Pipeline GLA</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8,900 m² (2026), 72,950 m² (2027), 41,850 m² (2028); ramp 35/90/100%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projects</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Post-2028 expansion</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27,075 m² a year opening from 2029E (55% Chile / 45% Peru); USD 3,603/m² indexed to CPI, spent 50% in t−2 and 50% in t−1; 80.9% EBITDA margin; 6.9% yield on cost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Average organic GLA 2022, 2023, 2025; pipeline cost per m²</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FX</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Consensus year-end 2026–28; purchasing-power parity thereafter</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Bloomberg ECFC, 5 Oct 2026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EBITDA margin</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80%, Peru 82%, Colombia 74% (≈ 79.7% consolidated)</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2024–LTM 2Q26; 2025 peak not extrapolated</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D&amp;A</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0.70% of revenue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LTM 2Q26 (4.8 / 677.3)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Cash tax rate</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16.8% (2026E) → 19% → 21.5% → 24% → 27% (2030E–31E)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current tax; shields run off</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Project capex</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445m remaining at Jun-26, spread to final opening (2026E–28E)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pipeline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Maintenance + IT capex</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5.5% of revenue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 (4.8%) – LTM 2Q26 (~6.6%)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Working capital</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operating working capital at 15.6% of revenue (Dec-25); 2026E covers 2H26E only</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FS Dec-25, first year-end with full Peru</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Leverage</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debt / EBITDA 2.36x (Jun-26) → 3.5x by Dec-31E, linear; cash above the plan returned via buybacks or special dividends</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Team assumption; peers 2.1x–5.7x</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 of debt</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financial cost 3.08% of opening net debt + 25bp real per turn of leverage above 2.36x; UF indexation on 79% of debt</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annualized; team assumption</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Excluded</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Greenfield (USD 0.7m LTM vs 55.2m in 2023), Gran Plaza; undated Chile projects replaced by the post-2028 expansion</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No date or immaterial</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Payout</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40% of distributable profit, one-year lag, plus the additional distributions above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Board policy (Note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bl>
          <w:p>
            <w:pPr>
              <w:keepNext w:val="false"/>
              <w:spacing w:after="0" w:before="10" w:line="216" w:lineRule="auto"/>
              <w:jc w:val="both"/>
            </w:pPr>
            <w:r>
              <w:rPr>
                <w:rFonts w:ascii="Arial" w:cs="Arial" w:eastAsia="Arial" w:hAnsi="Arial"/>
                <w:color w:val="5F5F5F"/>
                <w:sz w:val="11"/>
                <w:szCs w:val="11"/>
              </w:rPr>
              <w:t xml:space="preserve">Tags: R reported · C team calculation · S team assumption · P market consensus. Source: Plaza S.A. financial statements (CMF); 2Q26 results release; Bloomberg ECFC;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10: </w:t>
            </w:r>
            <w:r>
              <w:rPr>
                <w:rFonts w:ascii="Arial" w:cs="Arial" w:eastAsia="Arial" w:hAnsi="Arial"/>
                <w:color w:val="14284B"/>
                <w:sz w:val="14"/>
                <w:szCs w:val="14"/>
              </w:rPr>
              <w:t xml:space="preserve">Summary financial statements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Income statement</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(company definition)</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Fair-value gains &amp; other op. items, net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income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financial cost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UF indexation of debt</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Net income attributable</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attributable (company)</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Balance sheet</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and equivalents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202.0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347.6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Investment property</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6,961.9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7,309.8</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assets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4,796.3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5,915.1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7,583.6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7,985.7</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Gross financial debt</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1,264.0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1,617.6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1,579.3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1,633.4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Deferred tax liabilities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892.9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1,248.8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1,313.7</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Equity attributable to owners</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2,601.1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3,157.9</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4,482.9</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4,820.9</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Cash flow</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cash flow</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Acquisitions incl. minorities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Equity issued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borrowing / (repayment)</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paid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Dividends paid</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bl>
          <w:p>
            <w:pPr>
              <w:keepNext w:val="false"/>
              <w:spacing w:after="0" w:before="10" w:line="216" w:lineRule="auto"/>
              <w:jc w:val="both"/>
            </w:pPr>
            <w:r>
              <w:rPr>
                <w:rFonts w:ascii="Arial" w:cs="Arial" w:eastAsia="Arial" w:hAnsi="Arial"/>
                <w:color w:val="5F5F5F"/>
                <w:sz w:val="11"/>
                <w:szCs w:val="11"/>
              </w:rPr>
              <w:t xml:space="preserve">LTM = FY2025 − 1H25 + 1H26. 2024 as restated in Dec-25; 2022A from restated Dec-23 statements; 2022 financing lines not in the files used. Source: Plaza S.A. financial statements (CMF) Dec-24, Dec-25, Jun-26.</w:t>
            </w:r>
          </w:p>
        </w:tc>
      </w:tr>
    </w:tbl>
    <w:p>
      <w:pPr>
        <w:keepNext w:val="fals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11: </w:t>
            </w:r>
            <w:r>
              <w:rPr>
                <w:rFonts w:ascii="Arial" w:cs="Arial" w:eastAsia="Arial" w:hAnsi="Arial"/>
                <w:color w:val="14284B"/>
                <w:sz w:val="14"/>
                <w:szCs w:val="14"/>
              </w:rPr>
              <w:t xml:space="preserve">Ratio dashboard</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ROIC (NOPAT at 27%, IC at fair value)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Current ratio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 current liabilities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liabilities / equity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(net debt / inv. property)</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financial costs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costs / revenue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Receivable days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n.m.</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bl>
          <w:p>
            <w:pPr>
              <w:keepNext w:val="false"/>
              <w:spacing w:after="0" w:before="10" w:line="216" w:lineRule="auto"/>
              <w:jc w:val="both"/>
            </w:pPr>
            <w:r>
              <w:rPr>
                <w:rFonts w:ascii="Arial" w:cs="Arial" w:eastAsia="Arial" w:hAnsi="Arial"/>
                <w:color w:val="5F5F5F"/>
                <w:sz w:val="11"/>
                <w:szCs w:val="11"/>
              </w:rPr>
              <w:t xml:space="preserve">Jun-26 leverage on LTM EBITDA; operating costs = cost of sales + admin (1H26). Dec-24 receivable days n.m. (Peru consolidated one month). Jun-26 returns need the Jun-25 balance sheet. Source: Plaza S.A. financial statements (CMF); MD&amp;A 1H26; Team analysis.</w:t>
            </w:r>
          </w:p>
          <w:p>
            <w:pPr>
              <w:keepNext w:val="false"/>
              <w:spacing w:after="30" w:before="100" w:line="228" w:lineRule="auto"/>
            </w:pPr>
            <w:r>
              <w:rPr>
                <w:rFonts w:ascii="Arial" w:cs="Arial" w:eastAsia="Arial" w:hAnsi="Arial"/>
                <w:b/>
                <w:bCs/>
                <w:color w:val="14284B"/>
                <w:sz w:val="14"/>
                <w:szCs w:val="14"/>
              </w:rPr>
              <w:t xml:space="preserve">Appendix 12: </w:t>
            </w:r>
            <w:r>
              <w:rPr>
                <w:rFonts w:ascii="Arial" w:cs="Arial" w:eastAsia="Arial" w:hAnsi="Arial"/>
                <w:color w:val="14284B"/>
                <w:sz w:val="14"/>
                <w:szCs w:val="14"/>
              </w:rPr>
              <w:t xml:space="preserve">The EBITDA we use is the company's: fair-value gains are removed once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income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income (mostly fair value)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expenses (non-recurring)</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adjusted</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Check vs company EBITDA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r>
          </w:tbl>
          <w:p>
            <w:pPr>
              <w:keepNext w:val="false"/>
              <w:spacing w:after="0" w:before="10" w:line="216" w:lineRule="auto"/>
              <w:jc w:val="both"/>
            </w:pPr>
            <w:r>
              <w:rPr>
                <w:rFonts w:ascii="Arial" w:cs="Arial" w:eastAsia="Arial" w:hAnsi="Arial"/>
                <w:color w:val="5F5F5F"/>
                <w:sz w:val="11"/>
                <w:szCs w:val="11"/>
              </w:rPr>
              <w:t xml:space="preserve">Bloomberg's EBITDA field includes fair-value gains and is not used. Source: Plaza S.A. financial statements (CMF), Notes 23.1–23.3; 2Q26 release;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13: </w:t>
            </w:r>
            <w:r>
              <w:rPr>
                <w:rFonts w:ascii="Arial" w:cs="Arial" w:eastAsia="Arial" w:hAnsi="Arial"/>
                <w:color w:val="14284B"/>
                <w:sz w:val="14"/>
                <w:szCs w:val="14"/>
              </w:rPr>
              <w:t xml:space="preserve">Base-case projection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795"/>
              <w:gridCol w:w="571"/>
              <w:gridCol w:w="571"/>
              <w:gridCol w:w="571"/>
              <w:gridCol w:w="571"/>
              <w:gridCol w:w="571"/>
              <w:gridCol w:w="575"/>
            </w:tblGrid>
            <w:tr>
              <w:trPr>
                <w:tblHeader/>
              </w:trPr>
              <w:tc>
                <w:tcPr>
                  <w:tcW w:type="dxa" w:w="179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2026E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2027E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2028E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2029E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2030E</w:t>
                  </w:r>
                </w:p>
              </w:tc>
              <w:tc>
                <w:tcPr>
                  <w:tcW w:type="dxa" w:w="5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2031E</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Chile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498.4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533.9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571.2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603.1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628.7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652.8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Peru</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145.2</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159.8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171.6</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178.6</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Colombia</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96.8</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Eliminations</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post-2028 expansion</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w:t>
                  </w:r>
                </w:p>
              </w:tc>
            </w:tr>
            <w:tr>
              <w:trPr>
                <w:cantSplit w:val="false"/>
              </w:trPr>
              <w:tc>
                <w:tcPr>
                  <w:tcW w:type="dxa" w:w="179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Revenue</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704.0</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767.2</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820.5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870.1</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915.9</w:t>
                  </w:r>
                </w:p>
              </w:tc>
              <w:tc>
                <w:tcPr>
                  <w:tcW w:type="dxa" w:w="5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961.3</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Growth</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79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561.3</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611.4</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654.2</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694.0</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730.6</w:t>
                  </w:r>
                </w:p>
              </w:tc>
              <w:tc>
                <w:tcPr>
                  <w:tcW w:type="dxa" w:w="57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766.9</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606.0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648.5</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687.9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724.1</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760.1</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tax rate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21.5%</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pipeline + maintenance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(209.2)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(151.5)</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(51.7)</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post-2028 expansion</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(95.3)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(98.2)</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(101.1)</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(104.2)</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Δ working capital</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r>
            <w:tr>
              <w:trPr>
                <w:cantSplit w:val="false"/>
              </w:trPr>
              <w:tc>
                <w:tcPr>
                  <w:tcW w:type="dxa" w:w="179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FFO</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428.5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460.4</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473.1</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481.5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482.3</w:t>
                  </w:r>
                </w:p>
              </w:tc>
              <w:tc>
                <w:tcPr>
                  <w:tcW w:type="dxa" w:w="5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501.6</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434.4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436.9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431.6</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444.6</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Ordinary dividends (40%)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(147.7)</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(152.0)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(171.1)</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(174.8)</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(172.6)</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Additional distributions</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(121.0)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(378.6)</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(404.8)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2.46</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2.67</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2.88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3.29</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r>
          </w:tbl>
          <w:p>
            <w:pPr>
              <w:keepNext w:val="false"/>
              <w:spacing w:after="0" w:before="10" w:line="216" w:lineRule="auto"/>
              <w:jc w:val="both"/>
            </w:pPr>
            <w:r>
              <w:rPr>
                <w:rFonts w:ascii="Arial" w:cs="Arial" w:eastAsia="Arial" w:hAnsi="Arial"/>
                <w:color w:val="5F5F5F"/>
                <w:sz w:val="11"/>
                <w:szCs w:val="11"/>
              </w:rPr>
              <w:t xml:space="preserve">2026E = 1H26 actual + 2H26E; capex includes CLP 84.2bn spent in 1H26; Δ working capital and additional distributions cover 2H26E only. FFO = (EBITDA − net financial cost) × (1 − cash tax), before minorities (~1%); distributable profit = FFO − UF indexation. Source: valuation workbook v2 (DCF, Deuda and Expansion sheets); Team analysis.</w:t>
            </w:r>
          </w:p>
          <w:p>
            <w:pPr>
              <w:keepNext w:val="false"/>
              <w:spacing w:after="30" w:before="100" w:line="228" w:lineRule="auto"/>
            </w:pPr>
            <w:r>
              <w:rPr>
                <w:rFonts w:ascii="Arial" w:cs="Arial" w:eastAsia="Arial" w:hAnsi="Arial"/>
                <w:b/>
                <w:bCs/>
                <w:color w:val="14284B"/>
                <w:sz w:val="14"/>
                <w:szCs w:val="14"/>
              </w:rPr>
              <w:t xml:space="preserve">Appendix 14: </w:t>
            </w:r>
            <w:r>
              <w:rPr>
                <w:rFonts w:ascii="Arial" w:cs="Arial" w:eastAsia="Arial" w:hAnsi="Arial"/>
                <w:color w:val="14284B"/>
                <w:sz w:val="14"/>
                <w:szCs w:val="14"/>
              </w:rPr>
              <w:t xml:space="preserve">Like-for-like, Mallplaza earns the highest normalized ROE of its local peers (FY2025)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1033"/>
              <w:gridCol w:w="1033"/>
              <w:gridCol w:w="1034"/>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10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Mallplaza</w:t>
                  </w:r>
                </w:p>
              </w:tc>
              <w:tc>
                <w:tcPr>
                  <w:tcW w:type="dxa" w:w="10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Fair-value gain / opening property</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investment property</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 (Chile)</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w:t>
                  </w:r>
                </w:p>
              </w:tc>
              <w:tc>
                <w:tcPr>
                  <w:tcW w:type="dxa" w:w="10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10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equity attributable, YE (x)</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w:t>
                  </w:r>
                </w:p>
              </w:tc>
            </w:tr>
          </w:tbl>
          <w:p>
            <w:pPr>
              <w:keepNext w:val="false"/>
              <w:spacing w:after="0" w:before="10" w:line="216" w:lineRule="auto"/>
              <w:jc w:val="both"/>
            </w:pPr>
            <w:r>
              <w:rPr>
                <w:rFonts w:ascii="Arial" w:cs="Arial" w:eastAsia="Arial" w:hAnsi="Arial"/>
                <w:color w:val="5F5F5F"/>
                <w:sz w:val="11"/>
                <w:szCs w:val="11"/>
              </w:rPr>
              <w:t xml:space="preserve">Mallplaza normalized on audited distributable profit; peers on net income − fair-value gains × (1 − 27%). Parque Arauco property excludes JVs, overstating its LTV. Source: Plaza S.A. financial statements (CMF); Bloomberg FA as-reported (PARAUCO CI, CENCOMAL CI; export 28 Sep 2026); Team analysis.</w:t>
            </w:r>
          </w:p>
        </w:tc>
      </w:tr>
    </w:tbl>
    <w:p>
      <w:pPr>
        <w:keepNext w:val="false"/>
        <w:spacing w:before="160"/>
      </w:pPr>
    </w:p>
    <w:p>
      <w:pPr>
        <w:keepNext w:val="false"/>
        <w:pBdr>
          <w:bottom w:val="single" w:color="14284B" w:sz="18" w:space="2"/>
        </w:pBdr>
        <w:spacing w:after="80" w:before="0"/>
      </w:pPr>
      <w:r>
        <w:rPr>
          <w:rFonts w:ascii="Arial" w:cs="Arial" w:eastAsia="Arial" w:hAnsi="Arial"/>
          <w:b/>
          <w:bCs/>
          <w:color w:val="14284B"/>
          <w:sz w:val="30"/>
          <w:szCs w:val="30"/>
        </w:rPr>
        <w:t xml:space="preserve">APPENDIX 15: DISCOUNTED CASH FLOW</w:t>
      </w:r>
    </w:p>
    <w:p>
      <w:pPr>
        <w:keepNext w:val="false"/>
        <w:shd w:fill="EEF1F6" w:color="auto" w:val="clear"/>
        <w:spacing w:after="40" w:line="216" w:lineRule="auto"/>
        <w:jc w:val="both"/>
      </w:pPr>
      <w:r>
        <w:rPr>
          <w:rFonts w:ascii="Arial" w:cs="Arial" w:eastAsia="Arial" w:hAnsi="Arial"/>
          <w:color w:val="1A1A1A"/>
          <w:sz w:val="15"/>
          <w:szCs w:val="15"/>
        </w:rPr>
        <w:t xml:space="preserve">FCFF in nominal CLP from 30-Jun-26, with the mid-period convention and each period's WACC (Appendix 19). Terminal value uses 2032E FCFF with 3.0% nominal g (0% real, no reinvestment because RONIC is below the real WACC) and the 10.41% terminal WACC, and includes 108,301 m² of GLA maturing after 2031. It accounts for 76% of EV.</w:t>
      </w:r>
    </w:p>
    <w:p>
      <w:pPr>
        <w:keepNext w:val="false"/>
        <w:pBdr>
          <w:bottom w:val="single" w:color="E9004B" w:sz="8" w:space="1"/>
        </w:pBdr>
        <w:spacing w:after="50" w:before="80"/>
      </w:pPr>
      <w:r>
        <w:rPr>
          <w:rFonts w:ascii="Arial" w:cs="Arial" w:eastAsia="Arial" w:hAnsi="Arial"/>
          <w:b/>
          <w:bCs/>
          <w:color w:val="14284B"/>
          <w:sz w:val="16"/>
          <w:szCs w:val="16"/>
        </w:rPr>
        <w:t xml:space="preserve">A. FREE CASH FLOW TO THE FIRM BY PERIOD (CLP MILLION)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820,507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870,098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915,888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961,340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1,007,657</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654,236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694,005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730,578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766,858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804,002</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239,763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490,829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509,043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522,791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528,617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554,868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581,746</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D&amp;A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5,773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6,122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6,764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7,090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capex (pipeline + maintenance)</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−124,994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−240,660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−151,495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−47,682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−49,731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−51,674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−55,421</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Expansion capex / terminal reinvestment</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Investment in working capital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−8,321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−7,145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−7,093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−4,580</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FCFF</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113,426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199,440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259,688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375,321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377,068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398,716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528,835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of the period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Discount factor (mid-period)</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0.9753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0.9048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0.7412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0.6711</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0.6078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FCFF / of terminal value</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110,620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180,452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212,644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278,200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253,058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242,325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FROM ENTERPRISE VALUE TO VALUE PER 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Item</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 million</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explicit FCFF (2H26E–2031E)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1,277,299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terminal value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1,884</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Enterprise value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5,402,999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2,467</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Net financial debt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Minorities (book)</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Equity value / per share</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4,066,418</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1,857</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DCF VALUE SENSITIVITY (CLP/SHARE)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2,278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2,216</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2,139</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2,109</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2,052</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1,983</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0 bp</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1,918</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1,785</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1,699</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1,614</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1,528</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1,601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1,464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1,379</w:t>
                  </w:r>
                </w:p>
              </w:tc>
            </w:tr>
          </w:tbl>
          <w:p/>
        </w:tc>
      </w:tr>
    </w:tbl>
    <w:p>
      <w:pPr>
        <w:keepNext w:val="false"/>
        <w:spacing w:after="0" w:before="10" w:line="216" w:lineRule="auto"/>
      </w:pPr>
      <w:r>
        <w:rPr>
          <w:rFonts w:ascii="Arial" w:cs="Arial" w:eastAsia="Arial" w:hAnsi="Arial"/>
          <w:color w:val="5F5F5F"/>
          <w:sz w:val="11"/>
          <w:szCs w:val="11"/>
        </w:rPr>
        <w:t xml:space="preserve">Terminal value at 31-Dec-31: CLP 7,133,037 million (implied cap rate 10.1%; implied LTM EV/EBITDA 9.9x). 2H26E: half year. Source: model v2, DCF and Sensibilidad sheets; 2,190 million shares.</w:t>
      </w:r>
    </w:p>
    <w:p>
      <w:pPr>
        <w:keepNext w:val="false"/>
        <w:pBdr>
          <w:bottom w:val="single" w:color="14284B" w:sz="18" w:space="2"/>
        </w:pBdr>
        <w:spacing w:after="80" w:before="260"/>
      </w:pPr>
      <w:r>
        <w:rPr>
          <w:rFonts w:ascii="Arial" w:cs="Arial" w:eastAsia="Arial" w:hAnsi="Arial"/>
          <w:b/>
          <w:bCs/>
          <w:color w:val="14284B"/>
          <w:sz w:val="30"/>
          <w:szCs w:val="30"/>
        </w:rPr>
        <w:t xml:space="preserve">APPENDIX 16: FORECAST ASSUMPTIONS</w:t>
      </w:r>
    </w:p>
    <w:p>
      <w:pPr>
        <w:keepNext w:val="false"/>
        <w:shd w:fill="EEF1F6" w:color="auto" w:val="clear"/>
        <w:spacing w:after="40" w:line="216" w:lineRule="auto"/>
        <w:jc w:val="both"/>
      </w:pPr>
      <w:r>
        <w:rPr>
          <w:rFonts w:ascii="Arial" w:cs="Arial" w:eastAsia="Arial" w:hAnsi="Arial"/>
          <w:color w:val="1A1A1A"/>
          <w:sz w:val="15"/>
          <w:szCs w:val="15"/>
        </w:rPr>
        <w:t xml:space="preserve">The base forecast follows the team's operating engine (announced pipeline to 2028); from 2029 a continuous expansion is added at the historical opening pace. 2026E revenue is calendar-year; the 2H26E period deducts actual 1H26 (CLP 339,530 million of revenue).</w:t>
      </w:r>
    </w:p>
    <w:p>
      <w:pPr>
        <w:keepNext w:val="false"/>
        <w:pBdr>
          <w:bottom w:val="single" w:color="E9004B" w:sz="8" w:space="1"/>
        </w:pBdr>
        <w:spacing w:after="50" w:before="80"/>
      </w:pPr>
      <w:r>
        <w:rPr>
          <w:rFonts w:ascii="Arial" w:cs="Arial" w:eastAsia="Arial" w:hAnsi="Arial"/>
          <w:b/>
          <w:bCs/>
          <w:color w:val="14284B"/>
          <w:sz w:val="16"/>
          <w:szCs w:val="16"/>
        </w:rPr>
        <w:t xml:space="preserve">A. REVENUE, CAPEX AND WORKING CAPITAL FORECAST (CLP MILLION)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revenue (calendar year)</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820,507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866,952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904,203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939,524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 growth</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Continuous-expansion revenue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21,815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EBITDA margin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on projects under way (USD million)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Average USDCLP</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on projects under way</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105,634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198,465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106,367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 (5.5% of revenue)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45,128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47,682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49,731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51,674</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Total base capex</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124,994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240,660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151,495</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47,682</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49,731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51,674</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Continuous-expansion capex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Expansion cost per m² (CLP million, CPI)</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Investment in working capital</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8,321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7,145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7,093</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CONTINUOUS EXPANSION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per year from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Basis: organic average 2022, 2023 and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Pipeline under way (2Q26 release)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613.2 million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 per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disbursement</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 in t−2 / 50% in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Revenue ramp (year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Peru mix;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54.9% / 45.1%;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Yield on cost / real after-tax RONIC</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 / 5.0%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OPERATIONS, CAPITAL AND TERMINAL VALUE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2Q26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 of revenue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revenue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working capital / revenue (Dec-25)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Receivables / advance rents (Dec-25, CLP million)</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(real) terminal g</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Target net debt/EBITDA; real Kd per turn</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3.5x in 2031; +25 bp</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Payout on distributable income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w:t>
                  </w:r>
                </w:p>
              </w:tc>
            </w:tr>
          </w:tbl>
          <w:p/>
        </w:tc>
      </w:tr>
    </w:tbl>
    <w:p>
      <w:pPr>
        <w:keepNext w:val="false"/>
        <w:spacing w:after="0" w:before="10" w:line="216" w:lineRule="auto"/>
      </w:pPr>
      <w:r>
        <w:rPr>
          <w:rFonts w:ascii="Arial" w:cs="Arial" w:eastAsia="Arial" w:hAnsi="Arial"/>
          <w:color w:val="5F5F5F"/>
          <w:sz w:val="11"/>
          <w:szCs w:val="11"/>
        </w:rPr>
        <w:t xml:space="preserve">Source: model v2, Forecast_Base, Expansion, Capital_Trabajo and Supuestos sheets (2Q26 release; Dec-25 financial statements; Exhibits v6).</w:t>
      </w:r>
    </w:p>
    <w:p>
      <w:pPr>
        <w:keepNext w:val="false"/>
        <w:pBdr>
          <w:bottom w:val="single" w:color="14284B" w:sz="18" w:space="2"/>
        </w:pBdr>
        <w:spacing w:after="80" w:before="0"/>
      </w:pPr>
      <w:r>
        <w:rPr>
          <w:rFonts w:ascii="Arial" w:cs="Arial" w:eastAsia="Arial" w:hAnsi="Arial"/>
          <w:b/>
          <w:bCs/>
          <w:color w:val="14284B"/>
          <w:sz w:val="30"/>
          <w:szCs w:val="30"/>
        </w:rPr>
        <w:t xml:space="preserve">APPENDIX 17: COMPARABLE MULTIPLES</w:t>
      </w:r>
    </w:p>
    <w:p>
      <w:pPr>
        <w:keepNext w:val="false"/>
        <w:shd w:fill="EEF1F6" w:color="auto" w:val="clear"/>
        <w:spacing w:after="40" w:line="216" w:lineRule="auto"/>
        <w:jc w:val="both"/>
      </w:pPr>
      <w:r>
        <w:rPr>
          <w:rFonts w:ascii="Arial" w:cs="Arial" w:eastAsia="Arial" w:hAnsi="Arial"/>
          <w:color w:val="1A1A1A"/>
          <w:sz w:val="15"/>
          <w:szCs w:val="15"/>
        </w:rPr>
        <w:t xml:space="preserve">We use the same peer set as the WACC beta. LTM EV/EBITDA is the main method (neutral to leverage and to IAS 40 revaluation); the multiple weights the Chilean median at 70% and the common-set median at 30%. P/E and P/BV mix fair-value and cost-basis peers: reference only. Price at 30-Sep-26; Bloomberg net debt and FX at 30-Jun-26.</w:t>
      </w:r>
    </w:p>
    <w:p>
      <w:pPr>
        <w:keepNext w:val="false"/>
        <w:pBdr>
          <w:bottom w:val="single" w:color="E9004B" w:sz="8" w:space="1"/>
        </w:pBdr>
        <w:spacing w:after="50" w:before="80"/>
      </w:pPr>
      <w:r>
        <w:rPr>
          <w:rFonts w:ascii="Arial" w:cs="Arial" w:eastAsia="Arial" w:hAnsi="Arial"/>
          <w:b/>
          <w:bCs/>
          <w:color w:val="14284B"/>
          <w:sz w:val="16"/>
          <w:szCs w:val="16"/>
        </w:rPr>
        <w:t xml:space="preserve">A. PEERS (CLP MILLION; MULTIPLES IN TIMES)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EBITDA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LTM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EV/EBITDA NTM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EV/EBIT LTM</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P/E LTM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Fibra Danhos (excluded)</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Common-set median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median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VALUE BY MULTIPLE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Multiple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Weighted</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Metric (CLP mn)</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EV/EBITDA LTM (main)</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EV/EBITDA NTM</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EV/EBIT LTM</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 LTM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SENSITIVITY TO THE WEIGHTING</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Chile weight</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Multiple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 value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r>
          </w:tbl>
          <w:p/>
        </w:tc>
      </w:tr>
    </w:tbl>
    <w:p>
      <w:pPr>
        <w:keepNext w:val="false"/>
        <w:spacing w:after="0" w:before="10" w:line="216" w:lineRule="auto"/>
      </w:pPr>
      <w:r>
        <w:rPr>
          <w:rFonts w:ascii="Arial" w:cs="Arial" w:eastAsia="Arial" w:hAnsi="Arial"/>
          <w:color w:val="5F5F5F"/>
          <w:sz w:val="11"/>
          <w:szCs w:val="11"/>
        </w:rPr>
        <w:t xml:space="preserve">Bridge: 14.36x × LTM EBITDA of CLP 544,935 million = EV 7,825,944 − Bloomberg net debt 1,311,569 − minorities 50,841 = CLP 2,951 per share (2,190 million shares). Fibra Danhos is excluded for its FIBRA regime and because it has no beta in the WACC; IRSA reports under IAS 29. Source: Bloomberg; model v2, Comparables and Precio_Objetivo sheets; Figuras_Valuacion, V7.</w:t>
      </w:r>
    </w:p>
    <w:p>
      <w:pPr>
        <w:keepNext w:val="false"/>
        <w:pBdr>
          <w:bottom w:val="single" w:color="14284B" w:sz="18" w:space="2"/>
        </w:pBdr>
        <w:spacing w:after="80" w:before="260"/>
      </w:pPr>
      <w:r>
        <w:rPr>
          <w:rFonts w:ascii="Arial" w:cs="Arial" w:eastAsia="Arial" w:hAnsi="Arial"/>
          <w:b/>
          <w:bCs/>
          <w:color w:val="14284B"/>
          <w:sz w:val="30"/>
          <w:szCs w:val="30"/>
        </w:rPr>
        <w:t xml:space="preserve">APPENDIX 18: SCENARIOS AND ROBUSTNESS</w:t>
      </w:r>
    </w:p>
    <w:p>
      <w:pPr>
        <w:keepNext w:val="false"/>
        <w:shd w:fill="EEF1F6" w:color="auto" w:val="clear"/>
        <w:spacing w:after="40" w:line="216" w:lineRule="auto"/>
        <w:jc w:val="both"/>
      </w:pPr>
      <w:r>
        <w:rPr>
          <w:rFonts w:ascii="Arial" w:cs="Arial" w:eastAsia="Arial" w:hAnsi="Arial"/>
          <w:color w:val="1A1A1A"/>
          <w:sz w:val="15"/>
          <w:szCs w:val="15"/>
        </w:rPr>
        <w:t xml:space="preserve">No scenario or alternative method reaches the CLP 3,555 price. Scenarios are computed with the DCF v2 replica (which reproduces the base value exactly), and the target keeps the 80% DCF weight and the CLP 2,951 multiples value.</w:t>
      </w:r>
    </w:p>
    <w:p>
      <w:pPr>
        <w:keepNext w:val="false"/>
        <w:pBdr>
          <w:bottom w:val="single" w:color="E9004B" w:sz="8" w:space="1"/>
        </w:pBdr>
        <w:spacing w:after="50" w:before="80"/>
      </w:pPr>
      <w:r>
        <w:rPr>
          <w:rFonts w:ascii="Arial" w:cs="Arial" w:eastAsia="Arial" w:hAnsi="Arial"/>
          <w:b/>
          <w:bCs/>
          <w:color w:val="14284B"/>
          <w:sz w:val="16"/>
          <w:szCs w:val="16"/>
        </w:rPr>
        <w:t xml:space="preserve">A. 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250"/>
        <w:gridCol w:w="5616"/>
        <w:gridCol w:w="1200"/>
        <w:gridCol w:w="1400"/>
        <w:gridCol w:w="1200"/>
      </w:tblGrid>
      <w:tr>
        <w:trPr>
          <w:tblHeader/>
        </w:trPr>
        <w:tc>
          <w:tcPr>
            <w:tcW w:type="dxa" w:w="12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Scenario</w:t>
            </w:r>
          </w:p>
        </w:tc>
        <w:tc>
          <w:tcPr>
            <w:tcW w:type="dxa" w:w="561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Assumptions</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12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w:t>
            </w:r>
          </w:p>
        </w:tc>
        <w:tc>
          <w:tcPr>
            <w:tcW w:type="dxa" w:w="561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+100 bp in every period; EBITDA margin 75.8% (historical low) instead of 79.7%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1,403</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1,713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−51.8%</w:t>
            </w:r>
          </w:p>
        </w:tc>
      </w:tr>
      <w:tr>
        <w:tc>
          <w:tcPr>
            <w:tcW w:type="dxa" w:w="12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Base</w:t>
            </w:r>
          </w:p>
        </w:tc>
        <w:tc>
          <w:tcPr>
            <w:tcW w:type="dxa" w:w="561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Model v2: WACC 10.54% → 10.41%; g 3.0%; margin 79.7%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1,857</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−41.6%</w:t>
            </w:r>
          </w:p>
        </w:tc>
      </w:tr>
      <w:tr>
        <w:tc>
          <w:tcPr>
            <w:tcW w:type="dxa" w:w="12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Bull</w:t>
            </w:r>
          </w:p>
        </w:tc>
        <w:tc>
          <w:tcPr>
            <w:tcW w:type="dxa" w:w="561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−100 bp; g 2.5%; margin 81.3% (historical high); cash tax capped at 23%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2,546</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2,627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−26.1%</w:t>
            </w:r>
          </w:p>
        </w:tc>
      </w:tr>
      <w:tr>
        <w:tc>
          <w:tcPr>
            <w:tcW w:type="dxa" w:w="12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Appraisers</w:t>
            </w:r>
          </w:p>
        </w:tc>
        <w:tc>
          <w:tcPr>
            <w:tcW w:type="dxa" w:w="561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8.72% (5.55% real, Note 11) in every period</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2,660</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−23.5%</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ALTERNATIVE METHODS AND INPUTS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Test</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APV (Ku 11.11%): unlevered value</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1,632</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tax shields of debt</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APV per share</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1,894</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2,105</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peso bond 5.43% (WACC −107 bp)</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2,439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−31.4%</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VF: constant WACC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2,095</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−41.1%</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implied by the price: 7.56%</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DEBT TARGET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ND/EBITDA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0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25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50 bp</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2.36x (current)</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1,819</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1,819</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1,819</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1,834</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1,857</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1,842</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1,894</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1,870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1,847</w:t>
                  </w:r>
                </w:p>
              </w:tc>
            </w:tr>
          </w:tbl>
          <w:p/>
        </w:tc>
      </w:tr>
    </w:tbl>
    <w:p>
      <w:pPr>
        <w:keepNext w:val="false"/>
        <w:spacing w:after="0" w:before="10" w:line="216" w:lineRule="auto"/>
      </w:pPr>
      <w:r>
        <w:rPr>
          <w:rFonts w:ascii="Arial" w:cs="Arial" w:eastAsia="Arial" w:hAnsi="Arial"/>
          <w:color w:val="5F5F5F"/>
          <w:sz w:val="11"/>
          <w:szCs w:val="11"/>
        </w:rPr>
        <w:t xml:space="preserve">Bear and bull: EBITDA margin at the historical low/high (4Q23 and 3Q25 earnings releases) in every year; the bull case does not recompute the WACC tax shield. Source: DCF v2 replica (riesgos/graficos/tornado_operacional.py); model v2, APV, Sensibilidad (table 2, static) and DCF sheets; Figuras_Valuacion, WACC_Construccion and V6.</w:t>
      </w:r>
    </w:p>
    <w:p>
      <w:pPr>
        <w:keepNext w:val="false"/>
        <w:pBdr>
          <w:bottom w:val="single" w:color="14284B" w:sz="18" w:space="2"/>
        </w:pBdr>
        <w:spacing w:after="80" w:before="0"/>
      </w:pPr>
      <w:r>
        <w:rPr>
          <w:rFonts w:ascii="Arial" w:cs="Arial" w:eastAsia="Arial" w:hAnsi="Arial"/>
          <w:b/>
          <w:bCs/>
          <w:color w:val="14284B"/>
          <w:sz w:val="30"/>
          <w:szCs w:val="30"/>
        </w:rPr>
        <w:t xml:space="preserve">APPENDIX 19: WACC CONSTRUCTION</w:t>
      </w:r>
    </w:p>
    <w:p>
      <w:pPr>
        <w:keepNext w:val="false"/>
        <w:shd w:fill="EEF1F6" w:color="auto" w:val="clear"/>
        <w:spacing w:after="60" w:line="228" w:lineRule="auto"/>
        <w:jc w:val="both"/>
      </w:pPr>
      <w:r>
        <w:rPr>
          <w:rFonts w:ascii="Arial" w:cs="Arial" w:eastAsia="Arial" w:hAnsi="Arial"/>
          <w:color w:val="1A1A1A"/>
          <w:sz w:val="16"/>
          <w:szCs w:val="16"/>
        </w:rPr>
        <w:t xml:space="preserve">The WACC is computed per period: D/E converges linearly from the current structure (20.0%) to the target (28.5%, net debt/EBITDA 3.5x) in 2031. The cost of equity is built in dollars (US Treasury Rf + re-levered beta × ERP + revenue-weighted CRP) and converted to pesos with the inflation differential.</w:t>
      </w:r>
    </w:p>
    <w:p>
      <w:pPr>
        <w:keepNext w:val="false"/>
        <w:spacing w:after="10"/>
        <w:ind w:left="240"/>
      </w:pPr>
      <w:r>
        <w:rPr>
          <w:rFonts w:ascii="Arial" w:cs="Arial" w:eastAsia="Arial" w:hAnsi="Arial"/>
          <w:b/>
          <w:bCs/>
          <w:color w:val="14284B"/>
          <w:sz w:val="14"/>
          <w:szCs w:val="14"/>
        </w:rPr>
        <w:t xml:space="preserve">βL = βU × [1 + (1 − t) × D/E]  (Hamada)</w:t>
      </w:r>
    </w:p>
    <w:p>
      <w:pPr>
        <w:keepNext w:val="false"/>
        <w:spacing w:after="10"/>
        <w:ind w:left="240"/>
      </w:pPr>
      <w:r>
        <w:rPr>
          <w:rFonts w:ascii="Arial" w:cs="Arial" w:eastAsia="Arial" w:hAnsi="Arial"/>
          <w:b/>
          <w:bCs/>
          <w:color w:val="14284B"/>
          <w:sz w:val="14"/>
          <w:szCs w:val="14"/>
        </w:rPr>
        <w:t xml:space="preserve">Ke USD = Rf + βL × ERP + weighted CRP</w:t>
      </w:r>
    </w:p>
    <w:p>
      <w:pPr>
        <w:keepNext w:val="false"/>
        <w:spacing w:after="10"/>
        <w:ind w:left="240"/>
      </w:pPr>
      <w:r>
        <w:rPr>
          <w:rFonts w:ascii="Arial" w:cs="Arial" w:eastAsia="Arial" w:hAnsi="Arial"/>
          <w:b/>
          <w:bCs/>
          <w:color w:val="14284B"/>
          <w:sz w:val="14"/>
          <w:szCs w:val="14"/>
        </w:rPr>
        <w:t xml:space="preserve">Ke CLP = (1 + Ke USD) × (1 + π Chile) / (1 + π US) − 1</w:t>
      </w:r>
    </w:p>
    <w:p>
      <w:pPr>
        <w:keepNext w:val="false"/>
        <w:spacing w:after="10"/>
        <w:ind w:left="240"/>
      </w:pPr>
      <w:r>
        <w:rPr>
          <w:rFonts w:ascii="Arial" w:cs="Arial" w:eastAsia="Arial" w:hAnsi="Arial"/>
          <w:b/>
          <w:bCs/>
          <w:color w:val="14284B"/>
          <w:sz w:val="14"/>
          <w:szCs w:val="14"/>
        </w:rPr>
        <w:t xml:space="preserve">Kd CLP = (1 + real Kd + spread) × (1 + π Chile) − 1</w:t>
      </w:r>
    </w:p>
    <w:p>
      <w:pPr>
        <w:keepNext w:val="false"/>
        <w:spacing w:after="10"/>
        <w:ind w:left="240"/>
      </w:pPr>
      <w:r>
        <w:rPr>
          <w:rFonts w:ascii="Arial" w:cs="Arial" w:eastAsia="Arial" w:hAnsi="Arial"/>
          <w:b/>
          <w:bCs/>
          <w:color w:val="14284B"/>
          <w:sz w:val="14"/>
          <w:szCs w:val="14"/>
        </w:rPr>
        <w:t xml:space="preserve">WACC = E/V × Ke CLP + D/V × Kd CLP × (1 − t)</w:t>
      </w:r>
    </w:p>
    <w:p>
      <w:pPr>
        <w:keepNext w:val="false"/>
        <w:pBdr>
          <w:bottom w:val="single" w:color="E9004B" w:sz="8" w:space="1"/>
        </w:pBdr>
        <w:spacing w:after="50" w:before="140"/>
      </w:pPr>
      <w:r>
        <w:rPr>
          <w:rFonts w:ascii="Arial" w:cs="Arial" w:eastAsia="Arial" w:hAnsi="Arial"/>
          <w:b/>
          <w:bCs/>
          <w:color w:val="14284B"/>
          <w:sz w:val="16"/>
          <w:szCs w:val="16"/>
        </w:rPr>
        <w:t xml:space="preserve">A. MARKET AND CAPITAL STRUCTURE ASSUMPTIONS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Source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10Y US Treasury</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Equity risk premium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Central Bank target</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US (10Y breakeven)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Chilean tax rate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Income Tax Law</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latest UF bond coupon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increase per turn of net debt/EBITDA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Team assumption</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 initial (30-Jun-26) → target</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2Q26 release; team assumption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Gross debt / market cap (current structure, CLP MM)</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1,579 / 7,906 (thousands)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bl>
    <w:p>
      <w:pPr>
        <w:keepNext w:val="false"/>
        <w:pBdr>
          <w:bottom w:val="single" w:color="E9004B" w:sz="8" w:space="1"/>
        </w:pBdr>
        <w:spacing w:after="50" w:before="140"/>
      </w:pPr>
      <w:r>
        <w:rPr>
          <w:rFonts w:ascii="Arial" w:cs="Arial" w:eastAsia="Arial" w:hAnsi="Arial"/>
          <w:b/>
          <w:bCs/>
          <w:color w:val="14284B"/>
          <w:sz w:val="16"/>
          <w:szCs w:val="16"/>
        </w:rPr>
        <w:t xml:space="preserve">B. BETA: UNLEVERED PEERS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Levered β</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Debt (CLP MM)</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Tax rate</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Unlevered β</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Median (6 peers included)</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0.9428</w:t>
            </w:r>
          </w:p>
        </w:tc>
      </w:tr>
    </w:tbl>
    <w:p>
      <w:pPr>
        <w:keepNext w:val="false"/>
        <w:spacing w:after="0" w:before="10" w:line="216" w:lineRule="auto"/>
      </w:pPr>
      <w:r>
        <w:rPr>
          <w:rFonts w:ascii="Arial" w:cs="Arial" w:eastAsia="Arial" w:hAnsi="Arial"/>
          <w:color w:val="5F5F5F"/>
          <w:sz w:val="11"/>
          <w:szCs w:val="11"/>
        </w:rPr>
        <w:t xml:space="preserve">Source: Bloomberg (betas), Tasa_WACC. Costa Verde is excluded because it is not in the comparables set.</w:t>
      </w:r>
    </w:p>
    <w:p>
      <w:pPr>
        <w:keepNext w:val="false"/>
        <w:pBdr>
          <w:bottom w:val="single" w:color="E9004B" w:sz="8" w:space="1"/>
        </w:pBdr>
        <w:spacing w:after="50" w:before="140"/>
      </w:pPr>
      <w:r>
        <w:rPr>
          <w:rFonts w:ascii="Arial" w:cs="Arial" w:eastAsia="Arial" w:hAnsi="Arial"/>
          <w:b/>
          <w:bCs/>
          <w:color w:val="14284B"/>
          <w:sz w:val="16"/>
          <w:szCs w:val="16"/>
        </w:rPr>
        <w:t xml:space="preserve">C. REVENUE-WEIGHTED COUNTRY RISK</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 (LTM revenue)</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Contribution</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CRP</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1.41%</w:t>
            </w:r>
          </w:p>
        </w:tc>
      </w:tr>
    </w:tbl>
    <w:p>
      <w:pPr>
        <w:keepNext w:val="false"/>
        <w:pBdr>
          <w:bottom w:val="single" w:color="E9004B" w:sz="8" w:space="1"/>
        </w:pBdr>
        <w:spacing w:after="50" w:before="140"/>
      </w:pPr>
      <w:r>
        <w:rPr>
          <w:rFonts w:ascii="Arial" w:cs="Arial" w:eastAsia="Arial" w:hAnsi="Arial"/>
          <w:b/>
          <w:bCs/>
          <w:color w:val="14284B"/>
          <w:sz w:val="16"/>
          <w:szCs w:val="16"/>
        </w:rPr>
        <w:t xml:space="preserve">D. WACC BY PERIOD</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Re-levered beta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Ke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(UF) incl.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Kd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After-tax Kd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Nominal WACC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WACC</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40" w:line="228" w:lineRule="auto"/>
            </w:pPr>
            <w:r>
              <w:rPr>
                <w:rFonts w:ascii="Arial" w:cs="Arial" w:eastAsia="Arial" w:hAnsi="Arial"/>
                <w:b/>
                <w:bCs/>
                <w:color w:val="14284B"/>
                <w:sz w:val="14"/>
                <w:szCs w:val="14"/>
              </w:rPr>
              <w:t xml:space="preserve">Figure 19.1: </w:t>
            </w:r>
            <w:r>
              <w:rPr>
                <w:rFonts w:ascii="Arial" w:cs="Arial" w:eastAsia="Arial" w:hAnsi="Arial"/>
                <w:color w:val="14284B"/>
                <w:sz w:val="14"/>
                <w:szCs w:val="14"/>
              </w:rPr>
              <w:t xml:space="preserve">Nominal WACC and D/E by period</w:t>
            </w:r>
          </w:p>
          <w:p>
            <w:pPr>
              <w:keepNext w:val="false"/>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14700" cy="17335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Control: the replica matches the WACC sheet of model v2 (0 bp difference in every period). Source: Damodaran; Bloomberg; Central Bank of Chile;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40"/>
            </w:pPr>
            <w:r>
              <w:rPr>
                <w:rFonts w:ascii="Arial" w:cs="Arial" w:eastAsia="Arial" w:hAnsi="Arial"/>
                <w:b/>
                <w:bCs/>
                <w:color w:val="14284B"/>
                <w:sz w:val="16"/>
                <w:szCs w:val="16"/>
              </w:rPr>
              <w:t xml:space="preserve">E. CHOICE OF THE RISK-FREE RATE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Alternative</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Model base: US Rf + Chile CRP, in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10Y peso bond, Central Bank (30-Jun-26)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Difference</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 bp</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Effect on terminal WACC (difference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 bp</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value using the peso bond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2,311</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80/20 target price in that case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2,439</w:t>
                  </w:r>
                </w:p>
              </w:tc>
            </w:tr>
          </w:tbl>
          <w:p>
            <w:pPr>
              <w:keepNext w:val="false"/>
              <w:spacing w:after="0" w:before="80" w:line="216" w:lineRule="auto"/>
              <w:jc w:val="both"/>
            </w:pPr>
            <w:r>
              <w:rPr>
                <w:rFonts w:ascii="Arial" w:cs="Arial" w:eastAsia="Arial" w:hAnsi="Arial"/>
                <w:color w:val="1A1A1A"/>
                <w:sz w:val="14"/>
                <w:szCs w:val="14"/>
              </w:rPr>
              <w:t xml:space="preserve">Why UST + CRP and not the peso bond: the local bond already embeds Chile risk, so adding the CRP would double-count it; also, 28% of revenue comes from Peru and Colombia, whose risk enters through the weighted CRP.</w:t>
            </w:r>
          </w:p>
          <w:p>
            <w:pPr>
              <w:keepNext w:val="false"/>
              <w:spacing w:after="0" w:before="30" w:line="216" w:lineRule="auto"/>
              <w:jc w:val="both"/>
            </w:pPr>
            <w:r>
              <w:rPr>
                <w:rFonts w:ascii="Arial" w:cs="Arial" w:eastAsia="Arial" w:hAnsi="Arial"/>
                <w:color w:val="1A1A1A"/>
                <w:sz w:val="14"/>
                <w:szCs w:val="14"/>
              </w:rPr>
              <w:t xml:space="preserve">It is the more conservative choice: with the peso bond the target price rises to ~CLP 2,439, still 31% below the CLP 3,555 share price. The recommendation does not change.</w:t>
            </w:r>
          </w:p>
          <w:p>
            <w:pPr>
              <w:keepNext w:val="false"/>
              <w:spacing w:after="0" w:before="30" w:line="216" w:lineRule="auto"/>
              <w:jc w:val="both"/>
            </w:pPr>
            <w:r>
              <w:rPr>
                <w:rFonts w:ascii="Arial" w:cs="Arial" w:eastAsia="Arial" w:hAnsi="Arial"/>
                <w:color w:val="5F5F5F"/>
                <w:sz w:val="11"/>
                <w:szCs w:val="11"/>
              </w:rPr>
              <w:t xml:space="preserve">Source: Central Bank of Chile, Informativo Diario 2-Jul-26; DCF v2 replica with the WACC shifted in every period.</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28"/>
          <w:szCs w:val="28"/>
        </w:rPr>
        <w:t xml:space="preserve">APPENDIX 20: MACROECONOMIC AND GEOPOLITICAL BACKDROP</w:t>
      </w:r>
    </w:p>
    <w:p>
      <w:pPr>
        <w:keepNext w:val="false"/>
        <w:shd w:fill="EEF1F6" w:color="auto" w:val="clear"/>
        <w:spacing w:after="110" w:line="228" w:lineRule="auto"/>
        <w:jc w:val="both"/>
      </w:pPr>
      <w:r>
        <w:rPr>
          <w:rFonts w:ascii="Arial" w:cs="Arial" w:eastAsia="Arial" w:hAnsi="Arial"/>
          <w:color w:val="1A1A1A"/>
          <w:sz w:val="16"/>
          <w:szCs w:val="16"/>
        </w:rPr>
        <w:t xml:space="preserve">Between 2022 and 2026 the world economy absorbed two geopolitical supply shocks and a structural rise in long-term rates. The result is a backdrop of stagflationary pressure and a higher cost of capital that reaches Chile through three channels — inflation, rates and consumption — and that sits behind the two most severe risks in the report (FR1 and MR1). In the charts, the dotted blue line marks the valuation date (30-Jun-2026); later data are shown for context.</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E9004B"/>
                <w:sz w:val="26"/>
                <w:szCs w:val="26"/>
              </w:rPr>
              <w:t xml:space="preserve">USD 114</w:t>
            </w:r>
          </w:p>
          <w:p>
            <w:pPr>
              <w:keepNext w:val="false"/>
              <w:spacing w:after="10" w:line="216" w:lineRule="auto"/>
            </w:pPr>
            <w:r>
              <w:rPr>
                <w:rFonts w:ascii="Arial" w:cs="Arial" w:eastAsia="Arial" w:hAnsi="Arial"/>
                <w:b/>
                <w:bCs/>
                <w:color w:val="14284B"/>
                <w:sz w:val="13"/>
                <w:szCs w:val="13"/>
              </w:rPr>
              <w:t xml:space="preserve">Brent, Sep-26 average</w:t>
            </w:r>
          </w:p>
          <w:p>
            <w:pPr>
              <w:keepNext w:val="false"/>
              <w:spacing w:after="0" w:line="216" w:lineRule="auto"/>
            </w:pPr>
            <w:r>
              <w:rPr>
                <w:rFonts w:ascii="Arial" w:cs="Arial" w:eastAsia="Arial" w:hAnsi="Arial"/>
                <w:color w:val="5F5F5F"/>
                <w:sz w:val="12"/>
                <w:szCs w:val="12"/>
              </w:rPr>
              <w:t xml:space="preserve">+61% vs Feb-26, before the conflict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5.22%</w:t>
            </w:r>
          </w:p>
          <w:p>
            <w:pPr>
              <w:keepNext w:val="false"/>
              <w:spacing w:after="10" w:line="216" w:lineRule="auto"/>
            </w:pPr>
            <w:r>
              <w:rPr>
                <w:rFonts w:ascii="Arial" w:cs="Arial" w:eastAsia="Arial" w:hAnsi="Arial"/>
                <w:b/>
                <w:bCs/>
                <w:color w:val="14284B"/>
                <w:sz w:val="13"/>
                <w:szCs w:val="13"/>
              </w:rPr>
              <w:t xml:space="preserve">10Y UST, 8-Oct-26</w:t>
            </w:r>
          </w:p>
          <w:p>
            <w:pPr>
              <w:keepNext w:val="false"/>
              <w:spacing w:after="0" w:line="216" w:lineRule="auto"/>
            </w:pPr>
            <w:r>
              <w:rPr>
                <w:rFonts w:ascii="Arial" w:cs="Arial" w:eastAsia="Arial" w:hAnsi="Arial"/>
                <w:color w:val="5F5F5F"/>
                <w:sz w:val="12"/>
                <w:szCs w:val="12"/>
              </w:rPr>
              <w:t xml:space="preserve">24-year high (since 2002)</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117 bp</w:t>
            </w:r>
          </w:p>
          <w:p>
            <w:pPr>
              <w:keepNext w:val="false"/>
              <w:spacing w:after="10" w:line="216" w:lineRule="auto"/>
            </w:pPr>
            <w:r>
              <w:rPr>
                <w:rFonts w:ascii="Arial" w:cs="Arial" w:eastAsia="Arial" w:hAnsi="Arial"/>
                <w:b/>
                <w:bCs/>
                <w:color w:val="14284B"/>
                <w:sz w:val="13"/>
                <w:szCs w:val="13"/>
              </w:rPr>
              <w:t xml:space="preserve">France–Germany spread</w:t>
            </w:r>
          </w:p>
          <w:p>
            <w:pPr>
              <w:keepNext w:val="false"/>
              <w:spacing w:after="0" w:line="216" w:lineRule="auto"/>
            </w:pPr>
            <w:r>
              <w:rPr>
                <w:rFonts w:ascii="Arial" w:cs="Arial" w:eastAsia="Arial" w:hAnsi="Arial"/>
                <w:color w:val="5F5F5F"/>
                <w:sz w:val="12"/>
                <w:szCs w:val="12"/>
              </w:rPr>
              <w:t xml:space="preserve">30-Sep-26; ~150 bp in early Oct.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3.0% | 4.7%</w:t>
            </w:r>
          </w:p>
          <w:p>
            <w:pPr>
              <w:keepNext w:val="false"/>
              <w:spacing w:after="10" w:line="216" w:lineRule="auto"/>
            </w:pPr>
            <w:r>
              <w:rPr>
                <w:rFonts w:ascii="Arial" w:cs="Arial" w:eastAsia="Arial" w:hAnsi="Arial"/>
                <w:b/>
                <w:bCs/>
                <w:color w:val="14284B"/>
                <w:sz w:val="13"/>
                <w:szCs w:val="13"/>
              </w:rPr>
              <w:t xml:space="preserve">IMF 2026: GDP | inflation</w:t>
            </w:r>
          </w:p>
          <w:p>
            <w:pPr>
              <w:keepNext w:val="false"/>
              <w:spacing w:after="0" w:line="216" w:lineRule="auto"/>
            </w:pPr>
            <w:r>
              <w:rPr>
                <w:rFonts w:ascii="Arial" w:cs="Arial" w:eastAsia="Arial" w:hAnsi="Arial"/>
                <w:color w:val="5F5F5F"/>
                <w:sz w:val="12"/>
                <w:szCs w:val="12"/>
              </w:rPr>
              <w:t xml:space="preserve">growth cut; disinflation stalled</w:t>
            </w:r>
          </w:p>
        </w:tc>
        <w:tc>
          <w:tcPr>
            <w:tcW w:type="dxa" w:w="90"/>
            <w:tcBorders>
              <w:top w:val="none" w:color="FFFFFF" w:sz="0"/>
              <w:left w:val="none" w:color="FFFFFF" w:sz="0"/>
              <w:bottom w:val="none" w:color="FFFFFF" w:sz="0"/>
              <w:right w:val="none" w:color="FFFFFF" w:sz="0"/>
            </w:tcBorders>
          </w:tcPr>
          <w:p>
            <w:pPr>
              <w:keepNext w:val="false"/>
            </w:p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0.25–0.75%</w:t>
            </w:r>
          </w:p>
          <w:p>
            <w:pPr>
              <w:keepNext w:val="false"/>
              <w:spacing w:after="10" w:line="216" w:lineRule="auto"/>
            </w:pPr>
            <w:r>
              <w:rPr>
                <w:rFonts w:ascii="Arial" w:cs="Arial" w:eastAsia="Arial" w:hAnsi="Arial"/>
                <w:b/>
                <w:bCs/>
                <w:color w:val="14284B"/>
                <w:sz w:val="13"/>
                <w:szCs w:val="13"/>
              </w:rPr>
              <w:t xml:space="preserve">Chile 2026 GDP (BCCh)</w:t>
            </w:r>
          </w:p>
          <w:p>
            <w:pPr>
              <w:keepNext w:val="false"/>
              <w:spacing w:after="0" w:line="216" w:lineRule="auto"/>
            </w:pPr>
            <w:r>
              <w:rPr>
                <w:rFonts w:ascii="Arial" w:cs="Arial" w:eastAsia="Arial" w:hAnsi="Arial"/>
                <w:color w:val="5F5F5F"/>
                <w:sz w:val="12"/>
                <w:szCs w:val="12"/>
              </w:rPr>
              <w:t xml:space="preserve">down from 2–3% expected in Dec-25</w:t>
            </w:r>
          </w:p>
        </w:tc>
      </w:tr>
    </w:tbl>
    <w:p>
      <w:pPr>
        <w:keepNext w:val="false"/>
        <w:pBdr>
          <w:bottom w:val="single" w:color="E9004B" w:sz="8" w:space="1"/>
        </w:pBdr>
        <w:spacing w:after="70" w:before="160"/>
      </w:pPr>
      <w:r>
        <w:rPr>
          <w:rFonts w:ascii="Arial" w:cs="Arial" w:eastAsia="Arial" w:hAnsi="Arial"/>
          <w:b/>
          <w:bCs/>
          <w:color w:val="14284B"/>
          <w:sz w:val="16"/>
          <w:szCs w:val="16"/>
        </w:rPr>
        <w:t xml:space="preserve">1. HOW THE SHOCK REACHES MALLPLAZA</w:t>
      </w:r>
    </w:p>
    <w:p>
      <w:pPr>
        <w:keepNext w:val="false"/>
        <w:spacing w:after="30" w:before="40" w:line="228" w:lineRule="auto"/>
      </w:pPr>
      <w:r>
        <w:rPr>
          <w:rFonts w:ascii="Arial" w:cs="Arial" w:eastAsia="Arial" w:hAnsi="Arial"/>
          <w:b/>
          <w:bCs/>
          <w:color w:val="14284B"/>
          <w:sz w:val="14"/>
          <w:szCs w:val="14"/>
        </w:rPr>
        <w:t xml:space="preserve">Figure 20.1: </w:t>
      </w:r>
      <w:r>
        <w:rPr>
          <w:rFonts w:ascii="Arial" w:cs="Arial" w:eastAsia="Arial" w:hAnsi="Arial"/>
          <w:color w:val="14284B"/>
          <w:sz w:val="14"/>
          <w:szCs w:val="14"/>
        </w:rPr>
        <w:t xml:space="preserve">Transmission map: from global shocks to Mallplaza's risks</w:t>
      </w:r>
    </w:p>
    <w:p>
      <w:pPr>
        <w:keepNext w:val="false"/>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772275" cy="16954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Team analysis; figures from Figures 28–30 of the report (Investment Risks).</w:t>
      </w:r>
    </w:p>
    <w:p>
      <w:pPr>
        <w:keepNext w:val="false"/>
        <w:pBdr>
          <w:bottom w:val="single" w:color="E9004B" w:sz="8" w:space="1"/>
        </w:pBdr>
        <w:spacing w:after="70" w:before="140"/>
      </w:pPr>
      <w:r>
        <w:rPr>
          <w:rFonts w:ascii="Arial" w:cs="Arial" w:eastAsia="Arial" w:hAnsi="Arial"/>
          <w:b/>
          <w:bCs/>
          <w:color w:val="14284B"/>
          <w:sz w:val="16"/>
          <w:szCs w:val="16"/>
        </w:rPr>
        <w:t xml:space="preserve">2. TWO SUPPLY SHOCKS AND A GLOBAL RISE IN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20.2: </w:t>
            </w:r>
            <w:r>
              <w:rPr>
                <w:rFonts w:ascii="Arial" w:cs="Arial" w:eastAsia="Arial" w:hAnsi="Arial"/>
                <w:color w:val="14284B"/>
                <w:sz w:val="14"/>
                <w:szCs w:val="14"/>
              </w:rPr>
              <w:t xml:space="preserve">Brent crude oil price, 2022–2026 (USD/barrel)</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Two supply shocks.</w:t>
            </w:r>
            <w:r>
              <w:rPr>
                <w:rFonts w:ascii="Arial" w:cs="Arial" w:eastAsia="Arial" w:hAnsi="Arial"/>
                <w:color w:val="1A1A1A"/>
                <w:sz w:val="15"/>
                <w:szCs w:val="15"/>
              </w:rPr>
              <w:t xml:space="preserve"> Russia's invasion of Ukraine (Feb-22) pushed Brent to USD 123 in June 2022. In 2026, the conflict in the Strait of Hormuz — which carries more than a quarter of seaborne oil — lifted it from USD 71 in February to USD 117 in April; after a truce in June, renewed attacks took it back to USD 114 in September.</w:t>
            </w:r>
          </w:p>
          <w:p>
            <w:pPr>
              <w:keepNext w:val="false"/>
              <w:spacing w:after="0" w:before="10" w:line="216" w:lineRule="auto"/>
            </w:pPr>
            <w:r>
              <w:rPr>
                <w:rFonts w:ascii="Arial" w:cs="Arial" w:eastAsia="Arial" w:hAnsi="Arial"/>
                <w:color w:val="5F5F5F"/>
                <w:sz w:val="11"/>
                <w:szCs w:val="11"/>
              </w:rPr>
              <w:t xml:space="preserve">Source: EIA (Brent spot, monthly average; STEO Apr-26, Sep-26 and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20.3: </w:t>
            </w:r>
            <w:r>
              <w:rPr>
                <w:rFonts w:ascii="Arial" w:cs="Arial" w:eastAsia="Arial" w:hAnsi="Arial"/>
                <w:color w:val="14284B"/>
                <w:sz w:val="14"/>
                <w:szCs w:val="14"/>
              </w:rPr>
              <w:t xml:space="preserve">10-year sovereign yields, 2022–2026 (%)</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Long-term rates rise together.</w:t>
            </w:r>
            <w:r>
              <w:rPr>
                <w:rFonts w:ascii="Arial" w:cs="Arial" w:eastAsia="Arial" w:hAnsi="Arial"/>
                <w:color w:val="1A1A1A"/>
                <w:sz w:val="15"/>
                <w:szCs w:val="15"/>
              </w:rPr>
              <w:t xml:space="preserve"> The 10Y UST moved from 1.8% (Jan-22) to 5.0% (Sep-26) and touched 5.22% on 8 October, a 24-year high; the Bund went from −0.1% to 3.6%. Fiscal deficits push up the risk-free rate, and Chile has followed the move since mid-2026.</w:t>
            </w:r>
          </w:p>
          <w:p>
            <w:pPr>
              <w:keepNext w:val="false"/>
              <w:spacing w:after="0" w:before="10" w:line="216" w:lineRule="auto"/>
            </w:pPr>
            <w:r>
              <w:rPr>
                <w:rFonts w:ascii="Arial" w:cs="Arial" w:eastAsia="Arial" w:hAnsi="Arial"/>
                <w:color w:val="5F5F5F"/>
                <w:sz w:val="11"/>
                <w:szCs w:val="11"/>
              </w:rPr>
              <w:t xml:space="preserve">Source: FRED (GS10), Bundesbank, Banque de France (via OECD) and BCCh (10Y BCP); monthly averages.</w:t>
            </w:r>
          </w:p>
        </w:tc>
      </w:tr>
    </w:tbl>
    <w:p>
      <w:pPr>
        <w:keepNext w:val="false"/>
      </w:pPr>
      <w:r>
        <w:t xml:space="preserve"/>
      </w:r>
    </w:p>
    <w:p>
      <w:pPr>
        <w:keepNext w:val="false"/>
        <w:pBdr>
          <w:bottom w:val="single" w:color="E9004B" w:sz="8" w:space="1"/>
        </w:pBdr>
        <w:spacing w:after="70" w:before="0"/>
      </w:pPr>
      <w:r>
        <w:rPr>
          <w:rFonts w:ascii="Arial" w:cs="Arial" w:eastAsia="Arial" w:hAnsi="Arial"/>
          <w:b/>
          <w:bCs/>
          <w:color w:val="14284B"/>
          <w:sz w:val="16"/>
          <w:szCs w:val="16"/>
        </w:rPr>
        <w:t xml:space="preserve">3. FISCAL PREMIUM AND STAGFLATION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20.4: </w:t>
            </w:r>
            <w:r>
              <w:rPr>
                <w:rFonts w:ascii="Arial" w:cs="Arial" w:eastAsia="Arial" w:hAnsi="Arial"/>
                <w:color w:val="14284B"/>
                <w:sz w:val="14"/>
                <w:szCs w:val="14"/>
              </w:rPr>
              <w:t xml:space="preserve">10-year spreads: France–Germany and Chile–US (bp)</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The rise is fiscal and global, not Chile risk.</w:t>
            </w:r>
            <w:r>
              <w:rPr>
                <w:rFonts w:ascii="Arial" w:cs="Arial" w:eastAsia="Arial" w:hAnsi="Arial"/>
                <w:color w:val="1A1A1A"/>
                <w:sz w:val="15"/>
                <w:szCs w:val="15"/>
              </w:rPr>
              <w:t xml:space="preserve"> France's spread over Germany rose from ~40 bp in 2022 to an 81 bp average in September 2026 and 117 bp at month-end (~150 bp in early October, the widest since 2011–12). Chile's spread over the US compressed: local rates depend more and more on the global base rate.</w:t>
            </w:r>
          </w:p>
          <w:p>
            <w:pPr>
              <w:keepNext w:val="false"/>
              <w:spacing w:after="0" w:before="10" w:line="216" w:lineRule="auto"/>
            </w:pPr>
            <w:r>
              <w:rPr>
                <w:rFonts w:ascii="Arial" w:cs="Arial" w:eastAsia="Arial" w:hAnsi="Arial"/>
                <w:color w:val="5F5F5F"/>
                <w:sz w:val="11"/>
                <w:szCs w:val="11"/>
              </w:rPr>
              <w:t xml:space="preserve">Source: Team calculation with Figure 20.3 data (monthly averages); September close: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20.5: </w:t>
            </w:r>
            <w:r>
              <w:rPr>
                <w:rFonts w:ascii="Arial" w:cs="Arial" w:eastAsia="Arial" w:hAnsi="Arial"/>
                <w:color w:val="14284B"/>
                <w:sz w:val="14"/>
                <w:szCs w:val="14"/>
              </w:rPr>
              <w:t xml:space="preserve">World growth and inflation, 2022–2026P (%)</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Stagflation.</w:t>
            </w:r>
            <w:r>
              <w:rPr>
                <w:rFonts w:ascii="Arial" w:cs="Arial" w:eastAsia="Arial" w:hAnsi="Arial"/>
                <w:color w:val="1A1A1A"/>
                <w:sz w:val="15"/>
                <w:szCs w:val="15"/>
              </w:rPr>
              <w:t xml:space="preserve"> The IMF cut 2026 world growth to 3.0% and raised inflation to 4.7% (from 4.1% in 2025): the disinflation under way since 2024 stalled on higher energy and food prices, in an economy that grows less.</w:t>
            </w:r>
          </w:p>
          <w:p>
            <w:pPr>
              <w:keepNext w:val="false"/>
              <w:spacing w:after="0" w:before="10" w:line="216" w:lineRule="auto"/>
            </w:pPr>
            <w:r>
              <w:rPr>
                <w:rFonts w:ascii="Arial" w:cs="Arial" w:eastAsia="Arial" w:hAnsi="Arial"/>
                <w:color w:val="5F5F5F"/>
                <w:sz w:val="11"/>
                <w:szCs w:val="11"/>
              </w:rPr>
              <w:t xml:space="preserve">Source: IMF, World Economic Outlook (July 2026 update). 2026P = projection.</w:t>
            </w:r>
          </w:p>
        </w:tc>
      </w:tr>
    </w:tbl>
    <w:p>
      <w:pPr>
        <w:keepNext w:val="false"/>
        <w:pBdr>
          <w:bottom w:val="single" w:color="E9004B" w:sz="8" w:space="1"/>
        </w:pBdr>
        <w:spacing w:after="70" w:before="140"/>
      </w:pPr>
      <w:r>
        <w:rPr>
          <w:rFonts w:ascii="Arial" w:cs="Arial" w:eastAsia="Arial" w:hAnsi="Arial"/>
          <w:b/>
          <w:bCs/>
          <w:color w:val="14284B"/>
          <w:sz w:val="16"/>
          <w:szCs w:val="16"/>
        </w:rPr>
        <w:t xml:space="preserve">4. CHILE: SLOWER GROWTH AND STICKY INFLATION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20.6: </w:t>
            </w:r>
            <w:r>
              <w:rPr>
                <w:rFonts w:ascii="Arial" w:cs="Arial" w:eastAsia="Arial" w:hAnsi="Arial"/>
                <w:color w:val="14284B"/>
                <w:sz w:val="14"/>
                <w:szCs w:val="14"/>
              </w:rPr>
              <w:t xml:space="preserve">Chile: GDP, inflation and policy rate, 2022–2026P (%)</w:t>
            </w:r>
          </w:p>
          <w:p>
            <w:pPr>
              <w:keepNext w:val="false"/>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14700" cy="20097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BCCh (Monetary Policy Reports Dec-25, Jun-26 and Sep-26) and INE. 2026 GDP: midpoint of the 0.25–0.75% range.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60"/>
            </w:pPr>
          </w:p>
          <w:p>
            <w:pPr>
              <w:keepNext w:val="false"/>
              <w:spacing w:after="70" w:before="0" w:line="228" w:lineRule="auto"/>
              <w:jc w:val="both"/>
            </w:pPr>
            <w:r>
              <w:rPr>
                <w:rFonts w:ascii="Arial" w:cs="Arial" w:eastAsia="Arial" w:hAnsi="Arial"/>
                <w:b/>
                <w:bCs/>
                <w:color w:val="14284B"/>
                <w:sz w:val="15"/>
                <w:szCs w:val="15"/>
              </w:rPr>
              <w:t xml:space="preserve">Slower growth.</w:t>
            </w:r>
            <w:r>
              <w:rPr>
                <w:rFonts w:ascii="Arial" w:cs="Arial" w:eastAsia="Arial" w:hAnsi="Arial"/>
                <w:color w:val="1A1A1A"/>
                <w:sz w:val="15"/>
                <w:szCs w:val="15"/>
              </w:rPr>
              <w:t xml:space="preserve"> The Central Bank cut 2026 GDP growth to 0.25–0.75%, from 2–3% in December 2025, with a weaker labour market and falling confidence.</w:t>
            </w:r>
          </w:p>
          <w:p>
            <w:pPr>
              <w:keepNext w:val="false"/>
              <w:spacing w:after="70" w:before="0" w:line="228" w:lineRule="auto"/>
              <w:jc w:val="both"/>
            </w:pPr>
            <w:r>
              <w:rPr>
                <w:rFonts w:ascii="Arial" w:cs="Arial" w:eastAsia="Arial" w:hAnsi="Arial"/>
                <w:b/>
                <w:bCs/>
                <w:color w:val="14284B"/>
                <w:sz w:val="15"/>
                <w:szCs w:val="15"/>
              </w:rPr>
              <w:t xml:space="preserve">Sticky inflation.</w:t>
            </w:r>
            <w:r>
              <w:rPr>
                <w:rFonts w:ascii="Arial" w:cs="Arial" w:eastAsia="Arial" w:hAnsi="Arial"/>
                <w:color w:val="1A1A1A"/>
                <w:sz w:val="15"/>
                <w:szCs w:val="15"/>
              </w:rPr>
              <w:t xml:space="preserve"> CPI rises to 3.9%, above the 3% target, and the policy rate stays at 4.5%: there is no room to support consumption, the driver of tenant sales (MR1).</w:t>
            </w:r>
          </w:p>
          <w:p>
            <w:pPr>
              <w:keepNext w:val="false"/>
              <w:spacing w:after="70" w:before="0" w:line="228" w:lineRule="auto"/>
              <w:jc w:val="both"/>
            </w:pPr>
            <w:r>
              <w:rPr>
                <w:rFonts w:ascii="Arial" w:cs="Arial" w:eastAsia="Arial" w:hAnsi="Arial"/>
                <w:b/>
                <w:bCs/>
                <w:color w:val="14284B"/>
                <w:sz w:val="15"/>
                <w:szCs w:val="15"/>
              </w:rPr>
              <w:t xml:space="preserve">Geopolitical fragmentation.</w:t>
            </w:r>
            <w:r>
              <w:rPr>
                <w:rFonts w:ascii="Arial" w:cs="Arial" w:eastAsia="Arial" w:hAnsi="Arial"/>
                <w:color w:val="1A1A1A"/>
                <w:sz w:val="15"/>
                <w:szCs w:val="15"/>
              </w:rPr>
              <w:t xml:space="preserve"> Weaker alliances and unpredictable US trade policy raise hedging costs and reduce flows to emerging markets. For Chile, Peru and Colombia this means more volatile currencies and costlier funding, which the model captures with a 1.41% weighted CRP in the cost of equity.</w:t>
            </w:r>
          </w:p>
        </w:tc>
      </w:tr>
    </w:tbl>
    <w:p>
      <w:pPr>
        <w:keepNext w:val="false"/>
        <w:pBdr>
          <w:bottom w:val="single" w:color="E9004B" w:sz="8" w:space="1"/>
        </w:pBdr>
        <w:spacing w:after="70" w:before="140"/>
      </w:pPr>
      <w:r>
        <w:rPr>
          <w:rFonts w:ascii="Arial" w:cs="Arial" w:eastAsia="Arial" w:hAnsi="Arial"/>
          <w:b/>
          <w:bCs/>
          <w:color w:val="14284B"/>
          <w:sz w:val="16"/>
          <w:szCs w:val="16"/>
        </w:rPr>
        <w:t xml:space="preserve">5. WHAT IT MEANS FOR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Channel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Effect on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 the model</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Risk</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Energy and inflation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Brent USD 71 → 114 (Feb–Sep-26); world inflation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Indexes UF debt (79% of total); UF-linked rents offset it</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UF +3% = −CLP 38,691 MM of earnings (Fig. 30)</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Long-term rates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10Y UST 4.1% → 5.2%; Bund 2.9% → 3.6% (Dec-25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WACC and cost of refinancing the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Rf 4.98%; WACC +100 bp = target price −12.3% (Fig. 29)</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Consumption and GDP</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Chile 2026 GDP: 0.25–0.75%; CPI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tenant sales, footfall and demand for new formats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Tornado: traffic −1.3% / +2.4% of value (Fig. 28)</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Fragmentation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 tariffs; lower flows to emerging markets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Volatile currencies and costlier funding</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1.41% weighted CRP in Ke; debt in local currency and hedging derivatives (MD&amp;A 2Q26)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 · MR3</w:t>
            </w:r>
          </w:p>
        </w:tc>
      </w:tr>
    </w:tbl>
    <w:p>
      <w:pPr>
        <w:keepNext w:val="false"/>
        <w:pBdr>
          <w:bottom w:val="single" w:color="E9004B" w:sz="8" w:space="1"/>
        </w:pBdr>
        <w:spacing w:after="70" w:before="140"/>
      </w:pPr>
      <w:r>
        <w:rPr>
          <w:rFonts w:ascii="Arial" w:cs="Arial" w:eastAsia="Arial" w:hAnsi="Arial"/>
          <w:b/>
          <w:bCs/>
          <w:color w:val="14284B"/>
          <w:sz w:val="16"/>
          <w:szCs w:val="16"/>
        </w:rPr>
        <w:t xml:space="preserve">6. WHAT TO WATCH</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Indicator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Latest</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Warning sign</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What it means for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10Y UST</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Sustained above 5.5%</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 WACC +50 bp: target price from CLP 2,076 to ~1,940 (Fig. 29)</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USD 120 or a prolonged Hormuz closure</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inflation and UF: larger debt indexation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CPI</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3.9% (Jun-26 MPR)</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4% for two quarters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No rate cuts; weak consumption and tenant sales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GDP</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0.25–0.75% 2026 (MPR)</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Two quarters of contraction</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footfall and sales; pressure on occupancy (Fig. 28)</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France–Germany spread</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117 bp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150 bp</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Fiscal contagion: more pressure on global long-term rates (FR1)</w:t>
            </w:r>
          </w:p>
        </w:tc>
      </w:tr>
    </w:tbl>
    <w:p>
      <w:pPr>
        <w:keepNext w:val="false"/>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Investor takeaway.</w:t>
      </w:r>
      <w:r>
        <w:rPr>
          <w:rFonts w:ascii="Arial" w:cs="Arial" w:eastAsia="Arial" w:hAnsi="Arial"/>
          <w:color w:val="1A1A1A"/>
          <w:sz w:val="16"/>
          <w:szCs w:val="16"/>
        </w:rPr>
        <w:t xml:space="preserve"> The backdrop raises the likelihood of the report's two most severe risks (FR1 and MR1). The model uses a 4.98% Rf and a 10.41% terminal nominal WACC (10.54% in 2H26E); with the 10Y UST above 5.2% in October, the bias on the discount rate is upward, which reinforces the recommendation.</w:t>
      </w:r>
    </w:p>
    <w:sectPr>
      <w:headerReference w:type="default" r:id="rId9"/>
      <w:footerReference w:type="default" r:id="rId10"/>
      <w:type w:val="nextPage"/>
      <w:pgSz w:w="11906" w:h="16838" w:orient="portrait"/>
      <w:pgMar w:top="1000" w:right="620" w:bottom="900" w:left="620" w:header="45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db1c1e9ee808458ab9cd8f7987298a2c28ac32b.png"/><Relationship Id="rId12" Type="http://schemas.openxmlformats.org/officeDocument/2006/relationships/image" Target="media/b2b2d7c7efb3f30eb3d2f36989cfa14f2029adbe.png"/><Relationship Id="rId13" Type="http://schemas.openxmlformats.org/officeDocument/2006/relationships/image" Target="media/3e0d5cd7410072f621125f9466a47538b8484785.png"/><Relationship Id="rId14" Type="http://schemas.openxmlformats.org/officeDocument/2006/relationships/image" Target="media/930b12feb78c2a7223e3994135daa5f82e020ffe.png"/><Relationship Id="rId15" Type="http://schemas.openxmlformats.org/officeDocument/2006/relationships/image" Target="media/97008b1080de62d6fb081f52664a91d418d7934e.png"/><Relationship Id="rId16" Type="http://schemas.openxmlformats.org/officeDocument/2006/relationships/image" Target="media/c38872059cd5731903c2ad5041f07c8d4699b365.png"/><Relationship Id="rId17" Type="http://schemas.openxmlformats.org/officeDocument/2006/relationships/image" Target="media/ded5e1657640e653c8c5f59f77745d6d262bbdba.png"/><Relationship Id="rId18" Type="http://schemas.openxmlformats.org/officeDocument/2006/relationships/image" Target="media/9186d6d0fd41b9f3fd8c32d4b6b821345cc10ac1.png"/><Relationship Id="rId19" Type="http://schemas.openxmlformats.org/officeDocument/2006/relationships/image" Target="media/326703e0e66ff70cff5e7cdedeeb00baa383a9ec.png"/><Relationship Id="rId20" Type="http://schemas.openxmlformats.org/officeDocument/2006/relationships/image" Target="media/9570f91f852c6c39aad8d6f047dd2c1bef9ac37e.png"/><Relationship Id="rId21" Type="http://schemas.openxmlformats.org/officeDocument/2006/relationships/image" Target="media/addbc14aaf283e21f2e2e3b805c1e7edd232d409.png"/><Relationship Id="rId22" Type="http://schemas.openxmlformats.org/officeDocument/2006/relationships/image" Target="media/34cf5efedec970dddabf7ad7f0397fa946dde7af.png"/><Relationship Id="rId23" Type="http://schemas.openxmlformats.org/officeDocument/2006/relationships/image" Target="media/67d3af205c0720abae927a295402b8173067a71d.png"/><Relationship Id="rId24" Type="http://schemas.openxmlformats.org/officeDocument/2006/relationships/image" Target="media/0ecdedf336d9450fef0f4340e7d2f3445bf5d5ea.png"/><Relationship Id="rId25" Type="http://schemas.openxmlformats.org/officeDocument/2006/relationships/image" Target="media/100e719272ccd251c35d82999c2cbfdfab008b96.png"/><Relationship Id="rId26" Type="http://schemas.openxmlformats.org/officeDocument/2006/relationships/image" Target="media/0e8de6046ea8cf465c51ece1e2db1d0fdb7f5b9e.png"/><Relationship Id="rId27" Type="http://schemas.openxmlformats.org/officeDocument/2006/relationships/image" Target="media/a98ec5db30a9b2fae58f506a01267ad00c0545c0.png"/><Relationship Id="rId28" Type="http://schemas.openxmlformats.org/officeDocument/2006/relationships/image" Target="media/fbaa45cc822c3cf6d5ceb7547cdd01441f6bb8f4.png"/><Relationship Id="rId29" Type="http://schemas.openxmlformats.org/officeDocument/2006/relationships/image" Target="media/614c883e6f2b898c089b825413644af7dee880dd.png"/><Relationship Id="rId30" Type="http://schemas.openxmlformats.org/officeDocument/2006/relationships/image" Target="media/a62342d9ec50c46f4e7f430f13c67905c743e7ce.png"/><Relationship Id="rId31" Type="http://schemas.openxmlformats.org/officeDocument/2006/relationships/image" Target="media/8328ba562cddad3f672e3301050fb517a3b5f8aa.png"/><Relationship Id="rId32" Type="http://schemas.openxmlformats.org/officeDocument/2006/relationships/image" Target="media/30cb8469be326b2ca7bbe97b9caa7e1c4842f99d.png"/><Relationship Id="rId33" Type="http://schemas.openxmlformats.org/officeDocument/2006/relationships/image" Target="media/11ae97cbbba07ae07141e02f3be12fcfb32209b4.png"/><Relationship Id="rId34" Type="http://schemas.openxmlformats.org/officeDocument/2006/relationships/image" Target="media/d40688d44987d578c4578ea19e236ca614ea843a.png"/><Relationship Id="rId35" Type="http://schemas.openxmlformats.org/officeDocument/2006/relationships/image" Target="media/b3e445c9f34a4a944fb280d19258017788441bf7.png"/><Relationship Id="rId36" Type="http://schemas.openxmlformats.org/officeDocument/2006/relationships/image" Target="media/67c8ea2a55c01eaf39a5b555e17932328157a3b1.png"/><Relationship Id="rId37" Type="http://schemas.openxmlformats.org/officeDocument/2006/relationships/image" Target="media/f93973cef37e97655b8f2ee6a16d436dc31b144b.png"/><Relationship Id="rId38" Type="http://schemas.openxmlformats.org/officeDocument/2006/relationships/image" Target="media/622cee3aa81df98e2bbcd50166634b878e8dd818.png"/><Relationship Id="rId39" Type="http://schemas.openxmlformats.org/officeDocument/2006/relationships/image" Target="media/cf58b765b7de8ff377687c2671163528a8e708f3.png"/><Relationship Id="rId40" Type="http://schemas.openxmlformats.org/officeDocument/2006/relationships/image" Target="media/c59b24049313dff36dc84ade4dcb2534413819d0.png"/><Relationship Id="rId41" Type="http://schemas.openxmlformats.org/officeDocument/2006/relationships/image" Target="media/4629fff7f4d90544c6881dfa0ac0b1581647ead4.png"/><Relationship Id="rId42" Type="http://schemas.openxmlformats.org/officeDocument/2006/relationships/image" Target="media/d810a8de8705d486a1cc41f629d6e44a63c29c7d.png"/><Relationship Id="rId43" Type="http://schemas.openxmlformats.org/officeDocument/2006/relationships/image" Target="media/30db9ba6696526f51fce71150cb064598929c470.png"/><Relationship Id="rId44" Type="http://schemas.openxmlformats.org/officeDocument/2006/relationships/image" Target="media/79483e499b773861f736c4797e4f6cc8c65b3a9f.png"/><Relationship Id="rId45" Type="http://schemas.openxmlformats.org/officeDocument/2006/relationships/image" Target="media/6776e5c5d5e3b831d3a6082e34880dd0764b9702.png"/><Relationship Id="rId46" Type="http://schemas.openxmlformats.org/officeDocument/2006/relationships/image" Target="media/6c32e3d1a1d4ea4565596481224b7e392927ea41.png"/><Relationship Id="rId47" Type="http://schemas.openxmlformats.org/officeDocument/2006/relationships/image" Target="media/fb371acf9afb43003bfd5fcfe998ff3f42126817.png"/><Relationship Id="rId48" Type="http://schemas.openxmlformats.org/officeDocument/2006/relationships/image" Target="media/9d7f4f37ccf94ef7fd235868df77621056da952c.png"/><Relationship Id="rId49" Type="http://schemas.openxmlformats.org/officeDocument/2006/relationships/image" Target="media/1987ead589840fa585f367b9fb74310fee03f7dd.png"/><Relationship Id="rId50" Type="http://schemas.openxmlformats.org/officeDocument/2006/relationships/image" Target="media/a1a01b45d6be15873163d7f4df2b5d1388d71092.png"/><Relationship Id="rId51" Type="http://schemas.openxmlformats.org/officeDocument/2006/relationships/image" Target="media/74b785ab5dc6ff2d7a2669dbff7ca479845d79c7.png"/><Relationship Id="rId52" Type="http://schemas.openxmlformats.org/officeDocument/2006/relationships/image" Target="media/cad639ca5e0bdcd7eee0898b91cc8274ca418bf7.png"/><Relationship Id="rId53" Type="http://schemas.openxmlformats.org/officeDocument/2006/relationships/image" Target="media/b75d7c57b9f5e0f71be8fa7975bc23b67c6f4a4a.png"/><Relationship Id="rId54" Type="http://schemas.openxmlformats.org/officeDocument/2006/relationships/image" Target="media/7640993cad1d25805eb3ec4b6d40d373df297a1b.png"/><Relationship Id="rId55" Type="http://schemas.openxmlformats.org/officeDocument/2006/relationships/image" Target="media/097d9e68442f8586148a911de890f9b42b249cf6.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2026-10-14T21:11:09.145Z</dcterms:created>
  <dcterms:modified xsi:type="dcterms:W3CDTF">2026-10-14T21:11:09.145Z</dcterms:modified>
</cp:coreProperties>
</file>

<file path=docProps/custom.xml><?xml version="1.0" encoding="utf-8"?>
<Properties xmlns="http://schemas.openxmlformats.org/officeDocument/2006/custom-properties" xmlns:vt="http://schemas.openxmlformats.org/officeDocument/2006/docPropsVTypes"/>
</file>