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is the largest shopping center operator in the Andean region: 37 centers and 2.36 million m² of GLA in Chile, Peru and Colombia, with revenue almost as predictable as a bond (81.4% rents, 93% fixed and UF-indexed in Chile) and an 80.5% EBITDA margin. It is a great business, but at CLP 3,555 the market prices it as if its cash flows were nearly risk-free. Weighting our DCF at 80% and peer multiples at 20%, we reach a target price of CLP 2,076 and recommend SELL. Our disagreement with the market is not about cash flows but about the discount rate: the price requires a 7.56% WACC, 285 bp below our 10.41%, and a 6.0% cap rate against the 10.1% implied by our cash flows. Growth does not rescue the price, because each new m² earns a 5.0% real return against a 7.2% real WACC, and neither the bull case (CLP 2,627) nor the appraisers' rate (CLP 2,719) reaches the share price. The main risk to the thesis is a further compression of long-term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666"/>
        <w:gridCol w:w="2666"/>
        <w:gridCol w:w="2666"/>
        <w:gridCol w:w="2666"/>
      </w:tblGrid>
      <w:tr>
        <w:tc>
          <w:tcPr>
            <w:tcW w:type="dxa" w:w="266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Recommendation</w:t>
            </w:r>
          </w:p>
          <w:p>
            <w:pPr>
              <w:keepNext w:val="false"/>
              <w:jc w:val="center"/>
            </w:pPr>
            <w:r>
              <w:rPr>
                <w:rFonts w:ascii="Arial" w:cs="Arial" w:eastAsia="Arial" w:hAnsi="Arial"/>
                <w:b/>
                <w:bCs/>
                <w:color w:val="FFFFFF"/>
                <w:sz w:val="26"/>
                <w:szCs w:val="26"/>
              </w:rPr>
              <w:t xml:space="preserve">SELL</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Target price</w:t>
            </w:r>
          </w:p>
          <w:p>
            <w:pPr>
              <w:keepNext w:val="false"/>
              <w:jc w:val="center"/>
            </w:pPr>
            <w:r>
              <w:rPr>
                <w:rFonts w:ascii="Arial" w:cs="Arial" w:eastAsia="Arial" w:hAnsi="Arial"/>
                <w:b/>
                <w:bCs/>
                <w:color w:val="FFFFFF"/>
                <w:sz w:val="26"/>
                <w:szCs w:val="26"/>
              </w:rPr>
              <w:t xml:space="preserve">CLP 2,076</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Price (30-Sep-26)</w:t>
            </w:r>
          </w:p>
          <w:p>
            <w:pPr>
              <w:keepNext w:val="false"/>
              <w:jc w:val="center"/>
            </w:pPr>
            <w:r>
              <w:rPr>
                <w:rFonts w:ascii="Arial" w:cs="Arial" w:eastAsia="Arial" w:hAnsi="Arial"/>
                <w:b/>
                <w:bCs/>
                <w:color w:val="FFFFFF"/>
                <w:sz w:val="26"/>
                <w:szCs w:val="26"/>
              </w:rPr>
              <w:t xml:space="preserve">CLP 3,555</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Upside / downside</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BUSINESS DESCRIPTION</w:t>
      </w:r>
    </w:p>
    <w:p>
      <w:pPr>
        <w:keepNext/>
        <w:pBdr>
          <w:bottom w:val="single" w:color="E9004B" w:sz="8" w:space="1"/>
        </w:pBdr>
        <w:spacing w:after="50" w:before="110"/>
        <w:ind w:right="3766"/>
      </w:pPr>
      <w:r>
        <w:rPr>
          <w:rFonts w:ascii="Arial" w:cs="Arial" w:eastAsia="Arial" w:hAnsi="Arial"/>
          <w:b/>
          <w:bCs/>
          <w:color w:val="14284B"/>
          <w:sz w:val="16"/>
          <w:szCs w:val="16"/>
        </w:rPr>
        <w:t xml:space="preserve">FROM ONE MALL IN LA FLORIDA TO 37 URBAN CENTERS ACROSS THE ANDEAN REGION</w:t>
      </w:r>
    </w:p>
    <w:tbl>
      <w:tblPr>
        <w:tblpPr w:leftFromText="0" w:rightFromText="0" w:topFromText="0" w:bottomFromText="0" w:tblpX="711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however, remains the same as at inception: leasing m². Rent accounts for 81.4% of last-twelve-months (LTM) revenue, with the remainder coming from parking, commercial services and advertising. Because 93% of that rent is fixed and, in Chile, indexed to the UF, revenue is highly predictable, and the company also manages to grow it in real terms. In Chile, same-store rent (SSR) rose 6.5% LTM versus CPI of 4.3%, without straining its tenants, as rent represents only 9.9% of their sales (occupancy cost), nearly unchanged from a year earlier (9.7%). Nor is this an isolated good year: between 1Q23 and 2Q26, Chile SSR averaged 6.9% against inflation of 4.8%.</w:t>
      </w:r>
    </w:p>
    <w:p>
      <w:pPr>
        <w:keepNext/>
        <w:pBdr>
          <w:bottom w:val="single" w:color="E9004B" w:sz="8" w:space="1"/>
        </w:pBdr>
        <w:spacing w:after="50" w:before="110"/>
        <w:ind w:right="3766"/>
      </w:pPr>
      <w:r>
        <w:rPr>
          <w:rFonts w:ascii="Arial" w:cs="Arial" w:eastAsia="Arial" w:hAnsi="Arial"/>
          <w:b/>
          <w:bCs/>
          <w:color w:val="14284B"/>
          <w:sz w:val="16"/>
          <w:szCs w:val="16"/>
        </w:rPr>
        <w:t xml:space="preserve">A CONSTANTLY REINVENTED TENANT MIX AND HIGH MARGINS BY DESIGN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pricing power rests on a tenant mix the company has successfully reinvented. Department stores, which occupied 26.7% of GLA in 2020, fell to 19.0% in 2Q26 after Mallplaza converted roughly 146,000 m² of large-format stores since 2019 to brands such as IKEA, H&amp;M and Decathlon (Appendix 2). Today, 32.2% of GLA is devoted to essential retail and daily-traffic services, such as supermarkets, home improvement, public services and healthcare, which drive high-frequency visits, and another 21.5% to specialty retail. No single tenant dominates revenue: the top five tenants account for 18% and related parties for 15.7%. Add to this a lean cost structure, with cost of sales at 6.2% of revenue and administrative expenses at 13.9%, which leaves an LTM EBITDA margin of 80.5%.</w:t>
      </w:r>
    </w:p>
    <w:p>
      <w:pPr>
        <w:keepNext/>
        <w:pBdr>
          <w:bottom w:val="single" w:color="E9004B" w:sz="8" w:space="1"/>
        </w:pBdr>
        <w:spacing w:after="50" w:before="110"/>
        <w:ind w:right="3766"/>
      </w:pPr>
      <w:r>
        <w:rPr>
          <w:rFonts w:ascii="Arial" w:cs="Arial" w:eastAsia="Arial" w:hAnsi="Arial"/>
          <w:b/>
          <w:bCs/>
          <w:color w:val="14284B"/>
          <w:sz w:val="16"/>
          <w:szCs w:val="16"/>
        </w:rPr>
        <w:t xml:space="preserve">VALUE IS CONCENTRATED IN 10 TIER A ASSETS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growth story is written in its best assets. Ten centers, seven in Chile, two in Colombia and one in Peru, are Tier A, and with 46.4% of GLA they generate more than 60% of EBITDA (Appendix 1). Investment is directed toward them, as the expansions under construction at Trébol, Oeste, Norte, Trujillo and La Serena aim to lift Tier A assets to more than 70% of GLA.</w:t>
      </w:r>
    </w:p>
    <w:p>
      <w:pPr>
        <w:keepNext/>
        <w:pBdr>
          <w:bottom w:val="single" w:color="14284B" w:sz="18" w:space="2"/>
        </w:pBdr>
        <w:spacing w:after="80" w:before="120"/>
        <w:ind w:right="3766"/>
      </w:pPr>
      <w:r>
        <w:rPr>
          <w:rFonts w:ascii="Arial" w:cs="Arial" w:eastAsia="Arial" w:hAnsi="Arial"/>
          <w:b/>
          <w:bCs/>
          <w:color w:val="14284B"/>
          <w:sz w:val="30"/>
          <w:szCs w:val="30"/>
        </w:rPr>
        <w:t xml:space="preserve">INDUSTRY OVERVIEW AND COMPETITIVE POSITIONING</w:t>
      </w:r>
    </w:p>
    <w:p>
      <w:pPr>
        <w:keepNext/>
        <w:pBdr>
          <w:bottom w:val="single" w:color="E9004B" w:sz="8" w:space="1"/>
        </w:pBdr>
        <w:spacing w:after="50" w:before="110"/>
        <w:ind w:right="3766"/>
      </w:pPr>
      <w:r>
        <w:rPr>
          <w:rFonts w:ascii="Arial" w:cs="Arial" w:eastAsia="Arial" w:hAnsi="Arial"/>
          <w:b/>
          <w:bCs/>
          <w:color w:val="14284B"/>
          <w:sz w:val="16"/>
          <w:szCs w:val="16"/>
        </w:rPr>
        <w:t xml:space="preserve">AN INDUSTRY THAT IS CONCENTRATED IN CHILE AND FRAGMENTED IN PERU AND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and on that basis Mallplaza, Cenco Malls and Parque Arauco together manage 3.4 million m² in Chile alone.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Fragmentation is greatest in Colombia, where most shopping centers are strata-titled (multi-owner), which forces professional operators to grow by acquiring single-owner assets, as Mallplaza did with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NEW SUPPLY IN CHILE GROWS IN LINE WITH CONSUMPTION, WITH PRESSURE IN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6.7% of its current GLA; this figure excludes offices and multifamily, which do not depend on consumption, as well as acquisitions, which merely change ownership. Over the same period, the Central Bank of Chile projects cumulative private consumption growth of 6.4% (Figure 3), so new supply is advancing practically in line with expected demand. The timing, however, is uneven: 2026 adds almost no space (+0.2%), and pressure is concentrated in 2027 and 2028, when supply (+2.9% and +3.5%) outpaces consumption (+2.1% and +2.7%).</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local currency.</w:t>
      </w:r>
    </w:p>
    <w:p>
      <w:pPr>
        <w:keepNext/>
        <w:pBdr>
          <w:bottom w:val="single" w:color="E9004B" w:sz="8" w:space="1"/>
        </w:pBdr>
        <w:spacing w:after="50" w:before="110"/>
        <w:ind w:right="3766"/>
      </w:pPr>
      <w:r>
        <w:rPr>
          <w:rFonts w:ascii="Arial" w:cs="Arial" w:eastAsia="Arial" w:hAnsi="Arial"/>
          <w:b/>
          <w:bCs/>
          <w:color w:val="14284B"/>
          <w:sz w:val="16"/>
          <w:szCs w:val="16"/>
        </w:rPr>
        <w:t xml:space="preserve">AN ATTRACTIVE INDUSTRY WHOSE ONLY INTENSE FORCE IS RIVALRY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ranging from 71% to 90% across the three operators, in which the only intense force is rivalry.</w:t>
      </w:r>
    </w:p>
    <w:tbl>
      <w:tblPr>
        <w:tblpPr w:leftFromText="0" w:rightFromText="0" w:topFromText="0" w:bottomFromText="0" w:tblpX="7116" w:tblpY="96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tc>
      </w:tr>
    </w:tbl>
    <w:p>
      <w:pPr>
        <w:keepNext w:val="false"/>
        <w:spacing w:after="60" w:before="0" w:line="228" w:lineRule="auto"/>
        <w:ind w:right="3766"/>
        <w:jc w:val="both"/>
      </w:pPr>
      <w:r>
        <w:rPr>
          <w:rFonts w:ascii="Arial" w:cs="Arial" w:eastAsia="Arial" w:hAnsi="Arial"/>
          <w:b/>
          <w:bCs/>
          <w:i w:val="false"/>
          <w:iCs w:val="false"/>
          <w:color w:val="14284B"/>
          <w:sz w:val="16"/>
          <w:szCs w:val="16"/>
        </w:rPr>
        <w:t xml:space="preserve">Rivalry (4)</w:t>
      </w:r>
      <w:r>
        <w:rPr>
          <w:rFonts w:ascii="Arial" w:cs="Arial" w:eastAsia="Arial" w:hAnsi="Arial"/>
          <w:i w:val="false"/>
          <w:iCs w:val="false"/>
          <w:color w:val="1A1A1A"/>
          <w:sz w:val="16"/>
          <w:szCs w:val="16"/>
        </w:rPr>
        <w:t xml:space="preserve"> is played out not on price but on experience and assets. Mallplaza devotes more than half of its GLA to non-traditional, experience and entertainment formats, Cenco opened QINTO with 30,000 m² of food and dining at Costanera, and Parque Arauco is adding dining floors at Kennedy, while competition to acquire assets is intensifying, with Minka and Plaza Central changing hands in the past year and Parque Arauco announcing the purchase of Quilín and Chicureo. We do not assign the maximum score because the trio's shares in Chile have remained stable since 2Q22 (Appendix 5) and margins show no erosion.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p>
      <w:pPr>
        <w:keepNext/>
        <w:pBdr>
          <w:bottom w:val="single" w:color="E9004B" w:sz="8" w:space="1"/>
        </w:pBdr>
        <w:spacing w:after="50" w:before="110"/>
        <w:ind w:right="3766"/>
      </w:pPr>
      <w:r>
        <w:rPr>
          <w:rFonts w:ascii="Arial" w:cs="Arial" w:eastAsia="Arial" w:hAnsi="Arial"/>
          <w:b/>
          <w:bCs/>
          <w:color w:val="14284B"/>
          <w:sz w:val="16"/>
          <w:szCs w:val="16"/>
        </w:rPr>
        <w:t xml:space="preserve">MALLPLAZA TURNS ITS SCALE INTO THE MOST PRODUCTIVE M² OF THE TRIO</w:t>
      </w:r>
    </w:p>
    <w:tbl>
      <w:tblPr>
        <w:tblpPr w:leftFromText="0" w:rightFromText="0" w:topFromText="0" w:bottomFromText="0" w:tblpX="7116" w:tblpY="34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turns its scale into the highest EBITDA per m² of the trio, at CLP 59,451 in 2Q26 versus 58,384 at Cenco and 55,738 at Parque Arauco (Figure 5). That advantage stems from high-traffic urban locations, which in Chile received 52.7 million visits in the quarter versus 32.5 million at Cenco, and from monthly sales per m² of CLP 289,788 in Chile, 5.8% higher than a year earlier. The gap with Cenco is narrow and is partly explained by Cenco having added Plaza Central in June, with just one month of EBITDA in the quarter.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keepNext/>
        <w:pBdr>
          <w:bottom w:val="single" w:color="E9004B" w:sz="8" w:space="1"/>
        </w:pBdr>
        <w:spacing w:after="50" w:before="110"/>
        <w:ind w:right="3766"/>
      </w:pPr>
      <w:r>
        <w:rPr>
          <w:rFonts w:ascii="Arial" w:cs="Arial" w:eastAsia="Arial" w:hAnsi="Arial"/>
          <w:b/>
          <w:bCs/>
          <w:color w:val="14284B"/>
          <w:sz w:val="16"/>
          <w:szCs w:val="16"/>
        </w:rPr>
        <w:t xml:space="preserve">LONG LEASES TO DEFEND ITS POSITION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tbl>
      <w:tblPr>
        <w:tblpPr w:leftFromText="0" w:rightFromText="0" w:topFromText="0" w:bottomFromText="0" w:tblpX="7116" w:tblpY="70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an attractive industry, but one with high rivalry and supply that will outpace consumption in 2027-2028, the operators with the most productive assets and the most stable leases will gain share and profitability. Mallplaza leads in scale in Chile and in productivity per m², and is the only one of the trio with growing real sales, which leaves it well positioned to defend its profitability. Its main risk is its exposure to Chile, which accounts for 62% of its GLA and where consumption currently looks weaker.</w:t>
      </w:r>
    </w:p>
    <w:p>
      <w:pPr>
        <w:keepNext/>
        <w:pBdr>
          <w:bottom w:val="single" w:color="14284B" w:sz="18" w:space="2"/>
        </w:pBdr>
        <w:spacing w:after="80" w:before="120"/>
        <w:ind w:right="3766"/>
      </w:pPr>
      <w:r>
        <w:rPr>
          <w:rFonts w:ascii="Arial" w:cs="Arial" w:eastAsia="Arial" w:hAnsi="Arial"/>
          <w:b/>
          <w:bCs/>
          <w:color w:val="14284B"/>
          <w:sz w:val="30"/>
          <w:szCs w:val="30"/>
        </w:rPr>
        <w:t xml:space="preserve">ENVIRONMENTAL, SOCIAL AND GOVERNANCE (ESG)</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competitors in Chile (Figure 7); however, this is offset by the company's “green” profile at the local level, as it ranks among the leading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operational benefits, the implementation of an ISO 50001-certified energy management system (EnMS) translates into better energy performance and, consequently, lower operating costs. The opportunities to access local external benefits are tied to the company's ESG image: in Chile, under the R&amp;D Law (CORFO), Plaza can obtain up to a 55% reduction in first-category corporate income tax; Peru recognizes the company with 2 out of 4 stars under “Huella de Carbono Perú”, which strengthens the company's image and makes it easier to obtain permits and licenses in the country; and Colombia has Law 2099 of 2021, which allows income tax deductions for investments in environmental control, conservation and improvement.</w:t>
      </w:r>
    </w:p>
    <w:p>
      <w:pPr>
        <w:keepNext/>
        <w:pBdr>
          <w:bottom w:val="single" w:color="E9004B" w:sz="8" w:space="1"/>
        </w:pBdr>
        <w:spacing w:after="50" w:before="110"/>
        <w:ind w:right="3766"/>
      </w:pPr>
      <w:r>
        <w:rPr>
          <w:rFonts w:ascii="Arial" w:cs="Arial" w:eastAsia="Arial" w:hAnsi="Arial"/>
          <w:b/>
          <w:bCs/>
          <w:color w:val="14284B"/>
          <w:sz w:val="16"/>
          <w:szCs w:val="16"/>
        </w:rPr>
        <w:t xml:space="preserve">ENVIRONMENTAL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To this end, it has set three strategic focus areas on ESG parameters: energy and water efficiency, carbon footprint, and waste management. Plaza's main objective is to achieve carbon neutrality, targeting Net Zero in direct and indirect emissions by 2035 (65.6% progress in 2025). </w:t>
      </w:r>
      <w:r>
        <w:rPr>
          <w:rFonts w:ascii="Arial" w:cs="Arial" w:eastAsia="Arial" w:hAnsi="Arial"/>
          <w:b/>
          <w:bCs/>
          <w:i w:val="false"/>
          <w:iCs w:val="false"/>
          <w:color w:val="14284B"/>
          <w:sz w:val="16"/>
          <w:szCs w:val="16"/>
        </w:rPr>
        <w:t xml:space="preserve">Sustainability indices:</w:t>
      </w:r>
      <w:r>
        <w:rPr>
          <w:rFonts w:ascii="Arial" w:cs="Arial" w:eastAsia="Arial" w:hAnsi="Arial"/>
          <w:i w:val="false"/>
          <w:iCs w:val="false"/>
          <w:color w:val="1A1A1A"/>
          <w:sz w:val="16"/>
          <w:szCs w:val="16"/>
        </w:rPr>
        <w:t xml:space="preserve"> The company is included in the DJSI Chile and DJSI MILA, and is the only real estate company in South America to be part of MSCI ESG, with a “BBB” rating, which gives it exposure to ETFs. In addition, it has received the following recognitions: S&amp;P Global Sustainability Yearbook; Morningstar Sustainalytics assigns it a risk rating of 14.4; and Huella de Carbono Perú (2/4 stars), which supports its ESG image.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progress in 2025; Figure 8). The electricity efficiency target is for 100% to come from renewable energy by 2026 (89.3% progress). In 2025, the annual ratio was 0.16 MWh/m² (Energy/GLA), of which 0.14 was renewable and 0.014 non-renewable (Figure 9).</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progress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waste generated in 2025 (94.8% progress; Figure 9 and Appendix 8, Figure 8.4),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environmental due diligence on asset acquisitions, under an environmental compliance program aligned with ISO 14001 and monitored by the sustainability committee.</w:t>
      </w:r>
    </w:p>
    <w:tbl>
      <w:tblPr>
        <w:tblpPr w:leftFromText="0" w:rightFromText="0" w:topFromText="0" w:bottomFromText="0" w:tblpX="7116" w:tblpY="-477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tc>
      </w:tr>
    </w:tbl>
    <w:tbl>
      <w:tblPr>
        <w:tblpPr w:leftFromText="0" w:rightFromText="0" w:topFromText="0" w:bottomFromText="0" w:tblpX="7116" w:tblpY="-205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Bloomberg ESG score and external ratings.</w:t>
            </w:r>
          </w:p>
          <w:p>
            <w:pPr>
              <w:keepNext w:val="false"/>
              <w:spacing w:after="20" w:before="0" w:line="240" w:lineRule="auto"/>
              <w:jc w:val="center"/>
            </w:pPr>
            <w:r>
              <w:drawing>
                <wp:inline distT="0" distB="0" distL="0" distR="0">
                  <wp:extent cx="20288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288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116" w:tblpY="116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8: </w:t>
            </w:r>
            <w:r>
              <w:rPr>
                <w:rFonts w:ascii="Arial" w:cs="Arial" w:eastAsia="Arial" w:hAnsi="Arial"/>
                <w:color w:val="14284B"/>
                <w:sz w:val="14"/>
                <w:szCs w:val="14"/>
              </w:rPr>
              <w:t xml:space="preserve">Environmental targets: progress to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and materiality assessments (Appendix 8, Figure 8.3), and remains alert to any social incident through its integrity hotline. It is also ranked 31st out of 385 by CADEM in “Marcas Ciudadanas” (“Citizen Brands”), winning the “Shopping Centers” category (2026). Regarding employees, they receive training and even have access to specific programs for those nearing retirement (Appendix 8, section 5);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10).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10), and there is an average gender pay gap of 28% at the regional level. The target for 2028 is for 60% of the properties to be certified as inclusive spaces; in addition, Plaza obtained the “Sello Mayor” (“Senior Seal”), a distinction that certifies physical and operational adaptation for older adults.</w:t>
      </w:r>
    </w:p>
    <w:p>
      <w:pPr>
        <w:keepNext/>
        <w:pBdr>
          <w:bottom w:val="single" w:color="E9004B" w:sz="8" w:space="1"/>
        </w:pBdr>
        <w:spacing w:after="50" w:before="110"/>
        <w:ind w:right="3766"/>
      </w:pPr>
      <w:r>
        <w:rPr>
          <w:rFonts w:ascii="Arial" w:cs="Arial" w:eastAsia="Arial" w:hAnsi="Arial"/>
          <w:b/>
          <w:bCs/>
          <w:color w:val="14284B"/>
          <w:sz w:val="16"/>
          <w:szCs w:val="16"/>
        </w:rPr>
        <w:t xml:space="preserve">GOVERNANCE</w:t>
      </w:r>
    </w:p>
    <w:tbl>
      <w:tblPr>
        <w:tblpPr w:leftFromText="0" w:rightFromText="0" w:topFromText="0" w:bottomFromText="0" w:tblpX="7116" w:tblpY="13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9: </w:t>
            </w:r>
            <w:r>
              <w:rPr>
                <w:rFonts w:ascii="Arial" w:cs="Arial" w:eastAsia="Arial" w:hAnsi="Arial"/>
                <w:color w:val="14284B"/>
                <w:sz w:val="14"/>
                <w:szCs w:val="14"/>
              </w:rPr>
              <w:t xml:space="preserve">Renewable energy and waste recovery,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Board and committees:</w:t>
      </w:r>
      <w:r>
        <w:rPr>
          <w:rFonts w:ascii="Arial" w:cs="Arial" w:eastAsia="Arial" w:hAnsi="Arial"/>
          <w:i w:val="false"/>
          <w:iCs w:val="false"/>
          <w:color w:val="1A1A1A"/>
          <w:sz w:val="16"/>
          <w:szCs w:val="16"/>
        </w:rPr>
        <w:t xml:space="preserve"> In 2025, the Board, composed of 9 members (only one of whom is classified as independent; Figure 11 and Appendix 8, Figure 8.2), is responsible for defining Plaza's objectives, strategies and policies, while the directors' committee (composed of 3 members) reviews the balance sheets and financial statements, thereby mitigating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(53.05% of the shares; Appendix 8, Figure 8.1).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 and control:</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 Regarding sanctions at the regional level in 2025, Plaza has no antitrust or corruption sanctions, but it has 27 sanctions related to customer/consumer rights, 2 related to workers' rights, 1 from the Superintendency of the Environment and 8 for workplace/sexual harassment (Appendix 8, section 3).</w:t>
      </w:r>
    </w:p>
    <w:p>
      <w:pPr>
        <w:keepNext/>
        <w:pBdr>
          <w:bottom w:val="single" w:color="14284B" w:sz="18" w:space="2"/>
        </w:pBdr>
        <w:spacing w:after="80" w:before="120"/>
        <w:ind w:right="3766"/>
      </w:pPr>
      <w:r>
        <w:rPr>
          <w:rFonts w:ascii="Arial" w:cs="Arial" w:eastAsia="Arial" w:hAnsi="Arial"/>
          <w:b/>
          <w:bCs/>
          <w:color w:val="14284B"/>
          <w:sz w:val="30"/>
          <w:szCs w:val="30"/>
        </w:rPr>
        <w:t xml:space="preserve">FINANCIAL ANALYSIS</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keepNext w:val="false"/>
        <w:spacing w:after="30" w:before="40" w:line="228" w:lineRule="auto"/>
      </w:pPr>
      <w:r>
        <w:rPr>
          <w:rFonts w:ascii="Arial" w:cs="Arial" w:eastAsia="Arial" w:hAnsi="Arial"/>
          <w:b/>
          <w:bCs/>
          <w:color w:val="14284B"/>
          <w:sz w:val="14"/>
          <w:szCs w:val="14"/>
        </w:rPr>
        <w:t xml:space="preserve">Figure 12: </w:t>
      </w:r>
      <w:r>
        <w:rPr>
          <w:rFonts w:ascii="Arial" w:cs="Arial" w:eastAsia="Arial" w:hAnsi="Arial"/>
          <w:color w:val="14284B"/>
          <w:sz w:val="14"/>
          <w:szCs w:val="14"/>
        </w:rPr>
        <w:t xml:space="preserve">Normalized ROE of 8–10% is the real return; reported ROE is appraisal-driven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keepNext w:val="false"/>
        <w:spacing w:after="60"/>
      </w:pPr>
    </w:p>
    <w:tbl>
      <w:tblPr>
        <w:tblpPr w:leftFromText="0" w:rightFromText="0" w:topFromText="0" w:bottomFromText="0" w:tblpX="711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10: </w:t>
            </w:r>
            <w:r>
              <w:rPr>
                <w:rFonts w:ascii="Arial" w:cs="Arial" w:eastAsia="Arial" w:hAnsi="Arial"/>
                <w:color w:val="14284B"/>
                <w:sz w:val="14"/>
                <w:szCs w:val="14"/>
              </w:rPr>
              <w:t xml:space="preserve">Social indicators.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of promoters (scores 9–10) minus % of detractors (0–6). 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Reported earnings track the appraiser; FFO tracks the business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12). About two-thirds of Chile's 29% uplift came from a lower appraisal discount rate, not from higher NOI.</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Excluding fair-value gains net of deferred tax, audited distributable profit was CLP 369bn and ROE 9.7%, the highest of the three local peers on a comparable basis (Appendix 14). FFO, which we rebuild from the statements to within 0.02% of the reported CLP 405bn (Figure 13), held a 59–62% margin over 2022–2025 while net income swung more than fourfold. FFO excludes the UF indexation of debt (CLP 44bn, 11% of FFO); distributable profit includes it and is our conservative earnings anchor.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Broken down, 2025 normalized ROE (9.7%) is a 56.5% normalized net margin times an asset turnover of only 0.097x and 1.77x accounting leverage. Turnover is low because the balance sheet is at fair value: each revaluation inflates assets and equity without bringing in more cash. We therefore forecast normalized ROE stable at around 8%, rising only with leverage, not with operations.</w:t>
      </w:r>
    </w:p>
    <w:tbl>
      <w:tblPr>
        <w:tblpPr w:leftFromText="0" w:rightFromText="0" w:topFromText="0" w:bottomFromText="0" w:tblpX="7116" w:tblpY="12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11: </w:t>
            </w:r>
            <w:r>
              <w:rPr>
                <w:rFonts w:ascii="Arial" w:cs="Arial" w:eastAsia="Arial" w:hAnsi="Arial"/>
                <w:color w:val="14284B"/>
                <w:sz w:val="14"/>
                <w:szCs w:val="14"/>
              </w:rPr>
              <w:t xml:space="preserve">ESG incentives and Board composition.</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Two-thirds of 2025 growth was bought; organic real growth is about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rose 76% between 2022 and 2025, but 21.8pp of 2025's 32.2% came from perimeter: the Peruvian portfolio bought from Falabella, consolidated from 4 December 2024. Ex-Peru, revenue grew 10.7% in 2025 and 7.1% in 1H26.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Once currency and inflation are removed, 1H26 reported growth of 7.4% falls to about 3.0% real (Figure 14). Chile grew 2.8% after 3.1% UF indexation (5.1% in 2025); Peru 4.5% despite occupancy slipping to 93.8%; Colombia only about 1% once a 7.5% COP appreciation and 6.1% inflation are stripped out. In other words, roughly 60% of 1H26 reported growth came from prices and currency, not from more activity.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Growth is contractual, not sales-driven. Variable rent is 5.1% of revenue and fell 1.1% in 1H26 while tenant sales rose 6.7%, because minimum rents (same-store rent +5.5%) are outpacing tenant sales (same-store sales +3.7%). Revenue is therefore bond-like, but its real growth is converging on the 0.4–0.9% the company assumes for Chile in its own appraisal.</w:t>
      </w:r>
    </w:p>
    <w:p>
      <w:pPr>
        <w:keepNext/>
        <w:pBdr>
          <w:bottom w:val="single" w:color="E9004B" w:sz="8" w:space="1"/>
        </w:pBdr>
        <w:spacing w:after="50" w:before="110"/>
        <w:ind w:right="3766"/>
      </w:pPr>
      <w:r>
        <w:rPr>
          <w:rFonts w:ascii="Arial" w:cs="Arial" w:eastAsia="Arial" w:hAnsi="Arial"/>
          <w:b/>
          <w:bCs/>
          <w:color w:val="14284B"/>
          <w:sz w:val="16"/>
          <w:szCs w:val="16"/>
        </w:rPr>
        <w:t xml:space="preserve">Margin gains came from mix and cost recovery; operating leverage is spent</w:t>
      </w:r>
    </w:p>
    <w:tbl>
      <w:tblPr>
        <w:tblpPr w:leftFromText="0" w:rightFromText="0" w:topFromText="0" w:bottomFromText="0" w:tblpX="7116" w:tblpY="44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13: </w:t>
            </w:r>
            <w:r>
              <w:rPr>
                <w:rFonts w:ascii="Arial" w:cs="Arial" w:eastAsia="Arial" w:hAnsi="Arial"/>
                <w:color w:val="14284B"/>
                <w:sz w:val="14"/>
                <w:szCs w:val="14"/>
              </w:rPr>
              <w:t xml:space="preserve">Removing fair-value gains and non-cash items turns CLP 1,441bn of profit into CLP 408bn of FFO (CLP bn)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EBITDA margin rose from 76.2% in 2022 to 80.5% in 2025 for two reasons. Peru consolidates at an 83% segment margin, against 80% in Chile and 73% in Colombia. Chile's margin gained 2.4pp on a higher recovery of common charges, which are presented net of cost (Note 2.20): real, but dependent on occupancy and tenant negotiations, so not structural.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With cost of sales at 6% of revenue and total operating costs near 20%, little fixed cost is left to dilute; with D&amp;A at 0.7% of revenue, EBIT (CLP 523bn in 2025) tracks EBITDA. In 1H26 EBITDA grew 7.4%, in line with revenue, and margin held at 79.7%. Administrative expense rose 18.1% on payroll (+18.9%: CEO transition and a full year of Peru), a bad-debt charge rebounding from a 2025 base flattered by recoveries (0.64% of revenue, below 1.22% in 2024), and a one-off Colombian wealth tax of CLP 1.7bn. Excluding the last two, 1H26 margin would be 80.4%, up 0.7pp.</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costs have already fallen from 23.8% of revenue in 2023 to 20.1% in 2025 (Appendix 11), so there is little left for the margin to gain: from here, EBITDA grows with rents, not with efficiency.</w:t>
      </w:r>
    </w:p>
    <w:p>
      <w:pPr>
        <w:keepNext/>
        <w:pBdr>
          <w:bottom w:val="single" w:color="E9004B" w:sz="8" w:space="1"/>
        </w:pBdr>
        <w:spacing w:after="50" w:before="110"/>
        <w:ind w:right="3766"/>
      </w:pPr>
      <w:r>
        <w:rPr>
          <w:rFonts w:ascii="Arial" w:cs="Arial" w:eastAsia="Arial" w:hAnsi="Arial"/>
          <w:b/>
          <w:bCs/>
          <w:color w:val="14284B"/>
          <w:sz w:val="16"/>
          <w:szCs w:val="16"/>
        </w:rPr>
        <w:t xml:space="preserve">Cash covers the dividend 2.6x; the ceiling is policy, not liquidity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cash flow rose from CLP 301bn in 2024 to CLP 441bn in 2025, converting 98.7% of EBITDA before tax. Cash tax was only 15% of operating profit, sheltered by tax goodwill from Chilean reorganizations and loss carry-forwards (Note 13), and will rise toward the 27% statutory rate. After capex and net interest, free cash flow before debt service was CLP 280bn, covering dividends 2.6x (Figure 15).</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38.6% jump in 1H26 operating cash flow is not earnings power: 59% of it was December collections unwinding through working capital. Receivable days fell from 66 to 50, with no sign of weaker collection.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dividend policy pays out 40% of distributable profit with a one-year lag, so retained cash is high: CLP 171.6bn in 2025. In the base case, FFO rises from CLP 428.5bn in 2026E to CLP 501.6bn in 2031E and ordinary dividends from CLP 147.7bn to 172.6bn; the remaining cash, together with new debt, funds capex and the additional distributions (Appendix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Capex is stepping up. Contractual investment commitments rose to CLP 78bn at June 2026 from CLP 18bn in December 2025, and 1H26 property capex was CLP 81bn (+176%). The base case funds USD 445m of remaining pipeline over 2026–2028 and then keeps adding about 27,000 m² of GLA a year, the 2022–2025 organic pace, so capex settles near 16% of revenue rather than the 5.5% maintenance floor (Figure 18).</w:t>
      </w:r>
    </w:p>
    <w:tbl>
      <w:tblPr>
        <w:tblpPr w:leftFromText="0" w:rightFromText="0" w:topFromText="0" w:bottomFromText="0" w:tblpX="7116" w:tblpY="-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14: </w:t>
            </w:r>
            <w:r>
              <w:rPr>
                <w:rFonts w:ascii="Arial" w:cs="Arial" w:eastAsia="Arial" w:hAnsi="Arial"/>
                <w:color w:val="14284B"/>
                <w:sz w:val="14"/>
                <w:szCs w:val="14"/>
              </w:rPr>
              <w:t xml:space="preserve">Two-thirds of 2025 growth was bought; in 1H26 currency and inflation explain more than half</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Cash-flow metrics earn the AAA; equity-based ratios flatter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LTV fell from 26.9% to 18.8% in 2025, but 5.0pp of the 8.0pp drop came from revaluing the denominator; with property at 2024 value plus additions, LTV would have been 23.8% (Figure 16). Cash-flow metrics are the honest lens and support Feller Rate's upgrade to AAA (25 September 2026): net debt/EBITDA fell from 3.78x to 2.36x on June 2026 LTM EBITDA (the 2024 figure includes only one month of Peru), and EBITDA covers financial costs 8.4x.</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Gross debt of CLP 1,633bn is 79% UF, 14% PEN and 7% COP, matching revenue currencies; 95% is long term, with a 6.6-year duration. The UF bonds carry a 3.36% real coupon (3.48% effective), but with UF indexation the all-in nominal cost was about 7% in 2025. Maturities cluster in 2029, 2031 and 2033 (Figure 17); refinancing series S (1.32% effective) at the latest issue's 4.33% would add about CLP 4.9bn a year. Liquidity is ample: at June 2026 the current ratio was 2.50x and cash covered current liabilities 1.71x.</w:t>
      </w:r>
    </w:p>
    <w:tbl>
      <w:tblPr>
        <w:tblpPr w:leftFromText="0" w:rightFromText="0" w:topFromText="0" w:bottomFromText="0" w:tblpX="7116" w:tblpY="77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15: </w:t>
            </w:r>
            <w:r>
              <w:rPr>
                <w:rFonts w:ascii="Arial" w:cs="Arial" w:eastAsia="Arial" w:hAnsi="Arial"/>
                <w:color w:val="14284B"/>
                <w:sz w:val="14"/>
                <w:szCs w:val="14"/>
              </w:rPr>
              <w:t xml:space="preserve">Free cash flow covers dividends 1.5–2.6x even as capex rises (FY2025, CLP bn)</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1.8tn cumulatively over 2H26E–2031E (Appendix 13). At 3.5x the new AAA would likely come under pressure.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10). Against peers the balance sheet is conservative: LTV of 18.8% versus 42.9% at Parque Arauco and 16.3% at Cencosud Shopping, and net debt/EBITDA of 2.49x versus 5.68x and 2.11x (Appendix 14).</w:t>
      </w:r>
    </w:p>
    <w:p>
      <w:pPr>
        <w:keepNext/>
        <w:pBdr>
          <w:bottom w:val="single" w:color="E9004B" w:sz="8" w:space="1"/>
        </w:pBdr>
        <w:spacing w:after="50" w:before="110"/>
        <w:ind w:right="3766"/>
      </w:pPr>
      <w:r>
        <w:rPr>
          <w:rFonts w:ascii="Arial" w:cs="Arial" w:eastAsia="Arial" w:hAnsi="Arial"/>
          <w:b/>
          <w:bCs/>
          <w:color w:val="14284B"/>
          <w:sz w:val="16"/>
          <w:szCs w:val="16"/>
        </w:rPr>
        <w:t xml:space="preserve">The forecast carries forward what history supports, including the pace of expansion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grows 7.7% in 2026E and 5.0% in 2031E (2026E–2031E CAGR 6.4%), as real same-store growth converges to the appraisal midpoints, 123,700 m² of dated pipeline matures and, from 2029E, about 27,000 m² a year opens at the historical pace (Figure 18); 2026E and 2027E revenue sit within 0.6% of consensus. EBITDA margin stays at 79.7–79.8%, below the 2025 peak. Cash tax normalizes from 16.8% to 27% by 2030E and financial costs rise with leverage, so FFO margin slides from 60.9% to 52.2%. Working capital is held at 15.6% of revenue, the December 2025 level (Appendix 9). New GLA yields 6.9% on cost, a 5.0% real return after tax against a 7.2% real WACC: expansion adds revenue but not value.</w:t>
      </w:r>
    </w:p>
    <w:tbl>
      <w:tblPr>
        <w:tblpPr w:leftFromText="0" w:rightFromText="0" w:topFromText="0" w:bottomFromText="0" w:tblpX="7116" w:tblpY="-1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18: </w:t>
            </w:r>
            <w:r>
              <w:rPr>
                <w:rFonts w:ascii="Arial" w:cs="Arial" w:eastAsia="Arial" w:hAnsi="Arial"/>
                <w:color w:val="14284B"/>
                <w:sz w:val="14"/>
                <w:szCs w:val="14"/>
              </w:rPr>
              <w:t xml:space="preserve">After the pipeline, expansion keeps capex near CLP 150bn a year while leverage rebuilds to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includes CLP 84.2bn spent in 1H26; 2024A leverage includes one month of Peru EBITDA. Source: Plaza S.A. financial statements (CMF); 2Q26 results release (pipeline); valuation base case (Appendices 9 and 13).</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What this means for valuation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analysis leaves three conclusions for the model. First, the right earnings base is cash: we use the company's EBITDA, which removes revaluation once (Appendix 12), and distributable profit as the anchor, not the CLP 1,431bn accounting profit. Second, business quality is not in doubt: Mallplaza earns the highest normalized ROE of its local peers (9.7% against 7.8% at Parque Arauco and 8.0% at Cencosud Shopping) with an LTV of only 18.8% (Appendix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Third, the return on capital at fair value is low. 2025 ROIC, with NOPAT at 27% over invested capital at appraised value, was 7.3% (Appendix 11), below a 10.4% nominal WACC: the properties are worth more on the books than their cash flows justify at our rate.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p>
      <w:pPr>
        <w:keepNext/>
        <w:pBdr>
          <w:bottom w:val="single" w:color="14284B" w:sz="18" w:space="2"/>
        </w:pBdr>
        <w:spacing w:after="80" w:before="120"/>
        <w:ind w:right="3766"/>
      </w:pPr>
      <w:r>
        <w:rPr>
          <w:rFonts w:ascii="Arial" w:cs="Arial" w:eastAsia="Arial" w:hAnsi="Arial"/>
          <w:b/>
          <w:bCs/>
          <w:color w:val="14284B"/>
          <w:sz w:val="30"/>
          <w:szCs w:val="30"/>
        </w:rPr>
        <w:t xml:space="preserve">VALUATION</w:t>
      </w:r>
    </w:p>
    <w:tbl>
      <w:tblPr>
        <w:tblpPr w:leftFromText="0" w:rightFromText="0" w:topFromText="0" w:bottomFromText="0" w:tblpX="7116" w:tblpY="5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16: </w:t>
            </w:r>
            <w:r>
              <w:rPr>
                <w:rFonts w:ascii="Arial" w:cs="Arial" w:eastAsia="Arial" w:hAnsi="Arial"/>
                <w:color w:val="14284B"/>
                <w:sz w:val="14"/>
                <w:szCs w:val="14"/>
              </w:rPr>
              <w:t xml:space="preserve">Two-thirds of the 2025 fall in LTV is revaluation, not deleveraging</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tc>
      </w:tr>
    </w:tbl>
    <w:p>
      <w:pPr>
        <w:keepNext w:val="false"/>
        <w:shd w:fill="EEF1F6" w:color="auto" w:val="clear"/>
        <w:spacing w:after="80" w:line="228" w:lineRule="auto"/>
        <w:ind w:right="3766"/>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A PRICE NO METHOD REACHES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19).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tbl>
      <w:tblPr>
        <w:tblpPr w:leftFromText="0" w:rightFromText="0" w:topFromText="0" w:bottomFromText="0" w:tblpX="7116" w:tblpY="95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21: </w:t>
            </w:r>
            <w:r>
              <w:rPr>
                <w:rFonts w:ascii="Arial" w:cs="Arial" w:eastAsia="Arial" w:hAnsi="Arial"/>
                <w:color w:val="14284B"/>
                <w:sz w:val="14"/>
                <w:szCs w:val="14"/>
              </w:rPr>
              <w:t xml:space="preserve">Working capital: an assumption that does not move the price (±1.2%)</w:t>
            </w:r>
          </w:p>
          <w:p>
            <w:pPr>
              <w:keepNext w:val="false"/>
              <w:spacing w:after="20" w:before="0" w:line="240" w:lineRule="auto"/>
              <w:jc w:val="center"/>
            </w:pPr>
            <w:r>
              <w:drawing>
                <wp:inline distT="0" distB="0" distL="0" distR="0">
                  <wp:extent cx="14668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668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financial statements;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Figure 19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keepNext/>
        <w:pBdr>
          <w:bottom w:val="single" w:color="E9004B" w:sz="8" w:space="1"/>
        </w:pBdr>
        <w:spacing w:after="50" w:before="110"/>
        <w:ind w:right="3766"/>
      </w:pPr>
      <w:r>
        <w:rPr>
          <w:rFonts w:ascii="Arial" w:cs="Arial" w:eastAsia="Arial" w:hAnsi="Arial"/>
          <w:b/>
          <w:bCs/>
          <w:color w:val="14284B"/>
          <w:sz w:val="16"/>
          <w:szCs w:val="16"/>
        </w:rPr>
        <w:t xml:space="preserve">THE STORY IS IN THE RATE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project free cash flow to the firm in nominal CLP from 30-Jun-26, with an explicit horizon to 2031E and a terminal value that accounts for 76% of EV (Appendix 15). The CLP 1,857 per share is CLP 583 of explicit cash flows and CLP 1,884 of terminal value, less CLP 610 of debt and minorities: the result depends, above all, on the discount rate.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19).</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17: </w:t>
            </w:r>
            <w:r>
              <w:rPr>
                <w:rFonts w:ascii="Arial" w:cs="Arial" w:eastAsia="Arial" w:hAnsi="Arial"/>
                <w:color w:val="14284B"/>
                <w:sz w:val="14"/>
                <w:szCs w:val="14"/>
              </w:rPr>
              <w:t xml:space="preserve">Refinancing risk sits in 2029, 2031 and 2033, not in the near term</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We build Ke in dollars because its three inputs are in that currency: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The beta starts from unlevering six regional peers with Hamada and is relevered each period with Mallplaza's structure, which is why it moves from 1.09 in 2H26E to 1.14 in the terminal period.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Here the first signal appears: at CLP 3,555, equity yields ~4.4% real, just 80 bp above the company's own real cost of debt (Figure 20). The market is pricing the stock almost as if it were a bond.</w:t>
      </w:r>
    </w:p>
    <w:p>
      <w:pPr>
        <w:keepNext/>
        <w:pBdr>
          <w:bottom w:val="single" w:color="E9004B" w:sz="8" w:space="1"/>
        </w:pBdr>
        <w:spacing w:after="50" w:before="110"/>
        <w:ind w:right="3766"/>
      </w:pPr>
      <w:r>
        <w:rPr>
          <w:rFonts w:ascii="Arial" w:cs="Arial" w:eastAsia="Arial" w:hAnsi="Arial"/>
          <w:b/>
          <w:bCs/>
          <w:color w:val="14284B"/>
          <w:sz w:val="16"/>
          <w:szCs w:val="16"/>
        </w:rPr>
        <w:t xml:space="preserve">GROWTH DOES NOT RESCUE THE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tbl>
      <w:tblPr>
        <w:tblpPr w:leftFromText="0" w:rightFromText="0" w:topFromText="0" w:bottomFromText="0" w:tblpX="7116" w:tblpY="74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19: </w:t>
            </w:r>
            <w:r>
              <w:rPr>
                <w:rFonts w:ascii="Arial" w:cs="Arial" w:eastAsia="Arial" w:hAnsi="Arial"/>
                <w:color w:val="14284B"/>
                <w:sz w:val="14"/>
                <w:szCs w:val="14"/>
              </w:rPr>
              <w:t xml:space="preserve">No method justifies the current price (CLP per share)</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52-week intraday range (1-Oct-25 to 30-Sep-26; low 10-Oct-25, high 27-Apr-26). Source: Team analysis;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21). These are assumptions the team can defend line by line (Appendix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tbl>
      <w:tblPr>
        <w:tblpPr w:leftFromText="0" w:rightFromText="0" w:topFromText="0" w:bottomFromText="0" w:tblpX="7116" w:tblpY="54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20: </w:t>
            </w:r>
            <w:r>
              <w:rPr>
                <w:rFonts w:ascii="Arial" w:cs="Arial" w:eastAsia="Arial" w:hAnsi="Arial"/>
                <w:color w:val="14284B"/>
                <w:sz w:val="14"/>
                <w:szCs w:val="14"/>
              </w:rPr>
              <w:t xml:space="preserve">At CLP 3,555 equity yields almost the same as debt</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rates in UF. Source: Central Bank of Chile (30-Jun-26); Mallplaza;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22). Assuming more growth would not close the gap with the price; it would widen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This is not a conservative assumption against the company; at these returns, growing more would reduce its value.</w:t>
      </w:r>
    </w:p>
    <w:p>
      <w:pPr>
        <w:keepNext/>
        <w:pBdr>
          <w:bottom w:val="single" w:color="E9004B" w:sz="8" w:space="1"/>
        </w:pBdr>
        <w:spacing w:after="50" w:before="110"/>
        <w:ind w:right="3766"/>
      </w:pPr>
      <w:r>
        <w:rPr>
          <w:rFonts w:ascii="Arial" w:cs="Arial" w:eastAsia="Arial" w:hAnsi="Arial"/>
          <w:b/>
          <w:bCs/>
          <w:color w:val="14284B"/>
          <w:sz w:val="16"/>
          <w:szCs w:val="16"/>
        </w:rPr>
        <w:t xml:space="preserve">PEERS CONFIRM THE DIRECTION, NOT THE SIZE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23).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17).</w:t>
      </w:r>
    </w:p>
    <w:tbl>
      <w:tblPr>
        <w:tblpPr w:leftFromText="0" w:rightFromText="0" w:topFromText="0" w:bottomFromText="0" w:tblpX="7116" w:tblpY="18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22: </w:t>
            </w:r>
            <w:r>
              <w:rPr>
                <w:rFonts w:ascii="Arial" w:cs="Arial" w:eastAsia="Arial" w:hAnsi="Arial"/>
                <w:color w:val="14284B"/>
                <w:sz w:val="14"/>
                <w:szCs w:val="14"/>
              </w:rPr>
              <w:t xml:space="preserve">Growing below the WACC destroys value: real g = 0%</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Top: DCF value by g. Bottom: relative terminal value by RONIC. 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Macro explains the difference. At 30-Jun-26 Brazil had a 14.25% Selic, a 14.34% nominal 10-year bond and 5.3% expected 2026 inflation, against a 4.5% policy rate, a 5.43% nominal bond and 4.1% inflation in Chile, with similar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tbl>
      <w:tblPr>
        <w:tblpPr w:leftFromText="0" w:rightFromText="0" w:topFromText="0" w:bottomFromText="0" w:tblpX="7116" w:tblpY="74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Chile and Brazil charge the same premium: multiples differ because of rates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bond: 10Y UF (Central Bank of Chile) and NTN-B 2035 (8.08%) at 30-Jun-26. Spread = cap rate (1 / EV/EBITDA) − real bond. IRSA omitted (IAS 29). Source: Bloomberg; Central Bank of Chile;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24): multiples confirm the stock is expensive, and the DCF sets the size of the gap. We exclude P/E (CLP 8,644), distorted by property revaluation.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keepNext/>
        <w:pBdr>
          <w:bottom w:val="single" w:color="E9004B" w:sz="8" w:space="1"/>
        </w:pBdr>
        <w:spacing w:after="50" w:before="110"/>
        <w:ind w:right="3766"/>
      </w:pPr>
      <w:r>
        <w:rPr>
          <w:rFonts w:ascii="Arial" w:cs="Arial" w:eastAsia="Arial" w:hAnsi="Arial"/>
          <w:b/>
          <w:bCs/>
          <w:color w:val="14284B"/>
          <w:sz w:val="16"/>
          <w:szCs w:val="16"/>
        </w:rPr>
        <w:t xml:space="preserve">WHAT THE MARKET WOULD HAVE TO BELIEVE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price implies an EV of CLP 9.12 trillion, 69% above ours, and a 6.0% cap rate, against 10.1% in our DCF, 6.4% for Chilean peers and 7.5% at book value (Figure 25). The market pays 1.61x an equity base already at fair value, appraised at a ~5.55% real rate (Note 11): it pays more than the appraisers themselves. To justify CLP 3,555, the WACC would have to be 285 bp lower (Figure 26); even at the appraisers' rate, the DCF would be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pushed the thesis to its extremes. In a bear case (WACC +100 bp and the 75.8% quarterly-low margin) the target falls to CLP 1,713; in a bull case combining WACC −100 bp, g of 2.5%, the 81.3% quarterly-peak margin and the cut in corporate tax to 23%, it rises to CLP 2,627, still 26% below the price. APV (CLP 1,894), a peso-bond Rf (~CLP 2,439) and other debt targets (DCF of CLP 1,819 to 1,894) lead to the same conclusion (Appendix 18).</w:t>
      </w:r>
    </w:p>
    <w:tbl>
      <w:tblPr>
        <w:tblpPr w:leftFromText="0" w:rightFromText="0" w:topFromText="0" w:bottomFromText="0" w:tblpX="711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Value implied by each peer's multiple vs DCF and price (CLP per share)</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Target = 80% DCF + 20% EV/EBITDA LTM. P/E excluded (includes revaluation). Source: Bloomberg (30-Sep-26);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What we will watch: the Note 11 appraisal at each reporting date (the real discount rate is the bridge between our value and book), the spread of the company's UF bonds over their 3.6% coupon (at the latest issue's 4.33% effective rate, the WACC would rise 12 bp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p>
      <w:pPr>
        <w:keepNext w:val="false"/>
        <w:spacing w:before="12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The market pays 6.0%; our cash flows are worth 10.1%</w:t>
            </w:r>
          </w:p>
          <w:p>
            <w:pPr>
              <w:keepNext w:val="false"/>
              <w:spacing w:after="20" w:before="0" w:line="240" w:lineRule="auto"/>
              <w:jc w:val="center"/>
            </w:pPr>
            <w:r>
              <w:drawing>
                <wp:inline distT="0" distB="0" distL="0" distR="0">
                  <wp:extent cx="33147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14700" cy="21526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subsequent event, not in the model. Source: Mallplaza; Bloomberg; DF; Team analysis.</w:t>
            </w:r>
          </w:p>
        </w:tc>
        <w:tc>
          <w:tcPr>
            <w:tcW w:type="dxa" w:w="216"/>
            <w:tcBorders>
              <w:top w:val="none" w:color="FFFFFF" w:sz="0"/>
              <w:left w:val="none" w:color="FFFFFF" w:sz="0"/>
              <w:bottom w:val="none" w:color="FFFFFF" w:sz="0"/>
              <w:right w:val="none" w:color="FFFFFF" w:sz="0"/>
            </w:tcBorders>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The price requires a WACC 285 bp lower</w:t>
            </w:r>
          </w:p>
          <w:p>
            <w:pPr>
              <w:keepNext w:val="false"/>
              <w:spacing w:after="20" w:before="0" w:line="240" w:lineRule="auto"/>
              <w:jc w:val="center"/>
            </w:pPr>
            <w:r>
              <w:drawing>
                <wp:inline distT="0" distB="0" distL="0" distR="0">
                  <wp:extent cx="33147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314700" cy="23526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Team analysis.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INVESTMENT RISKS</w:t>
      </w:r>
    </w:p>
    <w:p>
      <w:pPr>
        <w:keepNext w:val="false"/>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RISK ASSESSMENT</w:t>
            </w:r>
          </w:p>
          <w:p>
            <w:pPr>
              <w:keepNext w:val="false"/>
              <w:spacing w:after="40" w:before="0" w:line="228" w:lineRule="auto"/>
              <w:jc w:val="both"/>
            </w:pPr>
            <w:r>
              <w:rPr>
                <w:rFonts w:ascii="Arial" w:cs="Arial" w:eastAsia="Arial" w:hAnsi="Arial"/>
                <w:color w:val="1A1A1A"/>
                <w:sz w:val="16"/>
                <w:szCs w:val="16"/>
              </w:rPr>
              <w:t xml:space="preserve">Figure 27 classifies each risk by likelihood and by its impact on value per share (Figures 28 to 26). Risks that could not be quantified are classified according to the team's qualitative analysis of the company.</w:t>
            </w:r>
          </w:p>
          <w:p>
            <w:pPr>
              <w:keepNext w:val="false"/>
              <w:pBdr>
                <w:bottom w:val="single" w:color="E9004B" w:sz="8" w:space="1"/>
              </w:pBdr>
              <w:spacing w:after="50" w:before="110"/>
            </w:pPr>
            <w:r>
              <w:rPr>
                <w:rFonts w:ascii="Arial" w:cs="Arial" w:eastAsia="Arial" w:hAnsi="Arial"/>
                <w:b/>
                <w:bCs/>
                <w:color w:val="14284B"/>
                <w:sz w:val="16"/>
                <w:szCs w:val="16"/>
              </w:rPr>
              <w:t xml:space="preserve">OPERATIONAL RISKS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28). </w:t>
            </w:r>
            <w:r>
              <w:rPr>
                <w:rFonts w:ascii="Arial" w:cs="Arial" w:eastAsia="Arial" w:hAnsi="Arial"/>
                <w:i/>
                <w:iCs/>
                <w:color w:val="5F5F5F"/>
                <w:sz w:val="16"/>
                <w:szCs w:val="16"/>
              </w:rPr>
              <w:t xml:space="preserve">(Non‑systematic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28). </w:t>
            </w:r>
            <w:r>
              <w:rPr>
                <w:rFonts w:ascii="Arial" w:cs="Arial" w:eastAsia="Arial" w:hAnsi="Arial"/>
                <w:i/>
                <w:iCs/>
                <w:color w:val="5F5F5F"/>
                <w:sz w:val="16"/>
                <w:szCs w:val="16"/>
              </w:rPr>
              <w:t xml:space="preserve">(Non‑systematic · Low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keepNext w:val="false"/>
              <w:pBdr>
                <w:bottom w:val="single" w:color="E9004B" w:sz="8" w:space="1"/>
              </w:pBdr>
              <w:spacing w:after="50" w:before="110"/>
            </w:pPr>
            <w:r>
              <w:rPr>
                <w:rFonts w:ascii="Arial" w:cs="Arial" w:eastAsia="Arial" w:hAnsi="Arial"/>
                <w:b/>
                <w:bCs/>
                <w:color w:val="14284B"/>
                <w:sz w:val="16"/>
                <w:szCs w:val="16"/>
              </w:rPr>
              <w:t xml:space="preserve">FINANCIAL RISKS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29). </w:t>
            </w:r>
            <w:r>
              <w:rPr>
                <w:rFonts w:ascii="Arial" w:cs="Arial" w:eastAsia="Arial" w:hAnsi="Arial"/>
                <w:i/>
                <w:iCs/>
                <w:color w:val="5F5F5F"/>
                <w:sz w:val="16"/>
                <w:szCs w:val="16"/>
              </w:rPr>
              <w:t xml:space="preserve">(Systematic · High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keepNext w:val="false"/>
              <w:pBdr>
                <w:bottom w:val="single" w:color="E9004B" w:sz="8" w:space="1"/>
              </w:pBdr>
              <w:spacing w:after="50" w:before="110"/>
            </w:pPr>
            <w:r>
              <w:rPr>
                <w:rFonts w:ascii="Arial" w:cs="Arial" w:eastAsia="Arial" w:hAnsi="Arial"/>
                <w:b/>
                <w:bCs/>
                <w:color w:val="14284B"/>
                <w:sz w:val="16"/>
                <w:szCs w:val="16"/>
              </w:rPr>
              <w:t xml:space="preserve">MARKET &amp; MACROECONOMIC RISKS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30). The risk is that weaker consumption prevents passing the UF through to rents: without that pass-through, UF +3% takes 0.9% off the target price. Weaker consumption also slows the new business lines (Appendix 20). </w:t>
            </w:r>
            <w:r>
              <w:rPr>
                <w:rFonts w:ascii="Arial" w:cs="Arial" w:eastAsia="Arial" w:hAnsi="Arial"/>
                <w:i/>
                <w:iCs/>
                <w:color w:val="5F5F5F"/>
                <w:sz w:val="16"/>
                <w:szCs w:val="16"/>
              </w:rPr>
              <w:t xml:space="preserve">(Systematic · High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28). </w:t>
            </w:r>
            <w:r>
              <w:rPr>
                <w:rFonts w:ascii="Arial" w:cs="Arial" w:eastAsia="Arial" w:hAnsi="Arial"/>
                <w:i/>
                <w:iCs/>
                <w:color w:val="5F5F5F"/>
                <w:sz w:val="16"/>
                <w:szCs w:val="16"/>
              </w:rPr>
              <w:t xml:space="preserve">(Systematic · Low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keepNext w:val="false"/>
              <w:pBdr>
                <w:bottom w:val="single" w:color="E9004B" w:sz="8" w:space="1"/>
              </w:pBdr>
              <w:spacing w:after="50" w:before="110"/>
            </w:pPr>
            <w:r>
              <w:rPr>
                <w:rFonts w:ascii="Arial" w:cs="Arial" w:eastAsia="Arial" w:hAnsi="Arial"/>
                <w:b/>
                <w:bCs/>
                <w:color w:val="14284B"/>
                <w:sz w:val="16"/>
                <w:szCs w:val="16"/>
              </w:rPr>
              <w:t xml:space="preserve">REGULATORY &amp; ESG RISKS</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Risk matrix</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Background colour = severity (likelihood × impact). Source: Team analysis.</w:t>
            </w:r>
          </w:p>
          <w:p>
            <w:pPr>
              <w:keepNext w:val="false"/>
              <w:spacing w:after="30" w:before="10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Operational risk tornado (CLP per share)</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keepNext w:val="false"/>
              <w:spacing w:after="30" w:before="10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Target price sensitivity: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keepNext w:val="false"/>
              <w:spacing w:after="30" w:before="10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Target price sensitivity to a rise in the UF (CLP per share)</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p>
      <w:pPr>
        <w:keepNext w:val="false"/>
        <w:spacing w:before="1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0666"/>
      </w:tblGrid>
      <w:tr>
        <w:trPr>
          <w:cantSplit/>
        </w:trPr>
        <w:tc>
          <w:tcPr>
            <w:tcW w:type="dxa" w:w="1066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INVESTMENT SUMMARY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TO BE WRITTEN</w:t>
                  </w:r>
                </w:p>
                <w:p>
                  <w:pPr>
                    <w:keepNext w:val="false"/>
                    <w:spacing w:after="60"/>
                  </w:pPr>
                  <w:r>
                    <w:rPr>
                      <w:rFonts w:ascii="Arial" w:cs="Arial" w:eastAsia="Arial" w:hAnsi="Arial"/>
                      <w:i/>
                      <w:iCs/>
                      <w:color w:val="5F5F5F"/>
                      <w:sz w:val="16"/>
                      <w:szCs w:val="16"/>
                    </w:rPr>
                    <w:t xml:space="preserve">Recommendation and target price · Investment thesis · Valuation summary · Catalysts · Key risks.</w:t>
                  </w:r>
                </w:p>
                <w:p>
                  <w:pPr>
                    <w:keepNext w:val="false"/>
                    <w:spacing w:after="60"/>
                  </w:pPr>
                  <w:r>
                    <w:rPr>
                      <w:rFonts w:ascii="Arial" w:cs="Arial" w:eastAsia="Arial" w:hAnsi="Arial"/>
                      <w:i/>
                      <w:iCs/>
                      <w:color w:val="5F5F5F"/>
                      <w:sz w:val="16"/>
                      <w:szCs w:val="16"/>
                    </w:rPr>
                    <w:t xml:space="preserve">Section to be written by the team; the key data on the right already come from the models.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KEY DATA</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Recommendation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SELL</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Target price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Price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Upside / downside</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value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weight</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cap (CLP bn)</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52-week range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Expected dividend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Net debt / LTM EBITDA 2Q26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Source: valuation model v2; Bloomberg (52-week range); Team analysis.</w:t>
                  </w:r>
                </w:p>
              </w:tc>
            </w:tr>
          </w:tbl>
          <w:p>
            <w:pPr>
              <w:keepNext w:val="false"/>
            </w:pPr>
          </w:p>
        </w:tc>
      </w:tr>
    </w:tbl>
    <w:p>
      <w:pPr>
        <w:sectPr>
          <w:headerReference w:type="default" r:id="rId7"/>
          <w:footerReference w:type="default" r:id="rId8"/>
          <w:type w:val="nextPage"/>
          <w:pgSz w:w="11906" w:h="16838" w:orient="portrait"/>
          <w:pgMar w:top="1000" w:right="620" w:bottom="900" w:left="620" w:header="450" w:footer="40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APPENDICES: 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Tier A assets by GLA, 2Q26 (thousand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(p.12). Tier A = 46.4% of total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Department stores, % of total GLA</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3: </w:t>
            </w:r>
            <w:r>
              <w:rPr>
                <w:rFonts w:ascii="Arial" w:cs="Arial" w:eastAsia="Arial" w:hAnsi="Arial"/>
                <w:color w:val="14284B"/>
                <w:sz w:val="14"/>
                <w:szCs w:val="14"/>
              </w:rPr>
              <w:t xml:space="preserve">GLA pipeline 2026-2028: organic vs acquisitions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2Q26 reports and 2025 Annual Report; Parque Arauco Investor Presentation 2Q26; Cenco Malls Corporate Presentation 2Q26. Dated projects only.</w:t>
            </w:r>
          </w:p>
          <w:p>
            <w:pPr>
              <w:keepNext w:val="false"/>
              <w:keepLines/>
              <w:spacing w:after="20" w:before="90" w:line="240" w:lineRule="auto"/>
            </w:pPr>
            <w:r>
              <w:rPr>
                <w:rFonts w:ascii="Arial" w:cs="Arial" w:eastAsia="Arial" w:hAnsi="Arial"/>
                <w:b/>
                <w:bCs/>
                <w:color w:val="14284B"/>
                <w:sz w:val="14"/>
                <w:szCs w:val="14"/>
              </w:rPr>
              <w:t xml:space="preserve">Appendix 5: </w:t>
            </w:r>
            <w:r>
              <w:rPr>
                <w:rFonts w:ascii="Arial" w:cs="Arial" w:eastAsia="Arial" w:hAnsi="Arial"/>
                <w:color w:val="14284B"/>
                <w:sz w:val="14"/>
                <w:szCs w:val="14"/>
              </w:rPr>
              <w:t xml:space="preserve">Market share within the trio in Chile, 2Q22-2Q26 (% of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4: </w:t>
            </w:r>
            <w:r>
              <w:rPr>
                <w:rFonts w:ascii="Arial" w:cs="Arial" w:eastAsia="Arial" w:hAnsi="Arial"/>
                <w:color w:val="14284B"/>
                <w:sz w:val="14"/>
                <w:szCs w:val="14"/>
              </w:rPr>
              <w:t xml:space="preserve">Consolidated occupancy rate, 2Q22-2Q26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Each company defines occupancy differently; Mallplaza includes Open Plaza since 2Q25.</w:t>
            </w:r>
          </w:p>
        </w:tc>
      </w:tr>
    </w:tbl>
    <w:p>
      <w:pPr>
        <w:keepNext w:val="false"/>
        <w:spacing w:after="30" w:before="140" w:line="228" w:lineRule="auto"/>
      </w:pPr>
      <w:r>
        <w:rPr>
          <w:rFonts w:ascii="Arial" w:cs="Arial" w:eastAsia="Arial" w:hAnsi="Arial"/>
          <w:b/>
          <w:bCs/>
          <w:color w:val="14284B"/>
          <w:sz w:val="14"/>
          <w:szCs w:val="14"/>
        </w:rPr>
        <w:t xml:space="preserve">Appendix 6: </w:t>
      </w:r>
      <w:r>
        <w:rPr>
          <w:rFonts w:ascii="Arial" w:cs="Arial" w:eastAsia="Arial" w:hAnsi="Arial"/>
          <w:color w:val="14284B"/>
          <w:sz w:val="14"/>
          <w:szCs w:val="14"/>
        </w:rPr>
        <w:t xml:space="preserve">Porter's five forces by country and key evidence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Force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Peru</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Key evidence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Rivalry</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race to reinvest in experience; asset acquisitions (Minka, Plaza Central; Quilín and Chicureo announced); supply above consumption in 2027-28. Stable shares and margins of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New entrants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Capital-intensive (USD 613 million for 170,200 m² at Mallplaza); incumbents' land banks; Peru and Colombia less concentrated; most malls in Colombia are strata-titled (multi-owner).</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tenants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occupancy 96-99%; average lease terms of 5.0-8.7 years; top 5 = 18% of Mallplaza revenue; Chile SSR above CPI (6.9% vs 4.8%, 1Q23-2Q26); department stores 19.0% of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suppliers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Common-area expenses passed through to tenants (2025 Annual Report, note 2.20); cost of sales 6.2% of Mallplaza revenue.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Substitutes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of Mallplaza rental income is fixed; 2Q26 visits +4.4% Chile, +1.3% Peru, +2.5% Colombia; shift toward experience. No official e-commerce data by country.</w:t>
            </w:r>
          </w:p>
        </w:tc>
      </w:tr>
    </w:tbl>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1-5 scale in whole numbers; final score = weighted average by Mallplaza GLA as of 2Q26 (Chile 61.9%, Peru 26.2%, Colombia 11.9%), rounded to the nearest integer. For new entrants, the weighted score sits at the threshold (1.5) and the team sets it at 2 given lower barriers to entry in Peru and Colombia. Detail and sources for each data point in Porter_industria_2Q26.xlsx.</w:t>
      </w:r>
    </w:p>
    <w:p>
      <w:pPr>
        <w:keepNext w:val="false"/>
        <w:spacing w:after="30" w:before="140" w:line="228" w:lineRule="auto"/>
      </w:pPr>
      <w:r>
        <w:rPr>
          <w:rFonts w:ascii="Arial" w:cs="Arial" w:eastAsia="Arial" w:hAnsi="Arial"/>
          <w:b/>
          <w:bCs/>
          <w:color w:val="14284B"/>
          <w:sz w:val="14"/>
          <w:szCs w:val="14"/>
        </w:rPr>
        <w:t xml:space="preserve">Appendix 7: </w:t>
      </w:r>
      <w:r>
        <w:rPr>
          <w:rFonts w:ascii="Arial" w:cs="Arial" w:eastAsia="Arial" w:hAnsi="Arial"/>
          <w:color w:val="14284B"/>
          <w:sz w:val="14"/>
          <w:szCs w:val="14"/>
        </w:rPr>
        <w:t xml:space="preserve">Key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Topic</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Measured by GLA (not by sales) across the main operators in each country (slide 7, Institutional Presentation 2Q26). Partial HHI: it is a floor.</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Only projects with dates in official reports as of 2Q26 and the 2025 Annual Report; for date ranges, the end of the range is used; acquisitions are not new supply for the industry.</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Supply vs demand</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only and only consumption-dependent m² (excludes offices and multifamily); base GLA excludes Cenco's offices. Private consumption from the Sep-2026 IPoM is used as a demand indicator, not as a sales forecast.</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per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as defined by each company (none includes IAS 40 revaluation gains); 2Q26 EBITDA not annualized; consolidated GLA at 100% of controlled assets.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Leases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Profile and term weighted by GLA: explicit for Cenco and in Parque Arauco's profile; assumption for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sales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tenant sales 2Q26 vs 2Q25 deflated by 12-month CPI as of June 2026 (4.3%; INE, release dated July 8, 2026). Cenco 2Q25 calculated from its published change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Dates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Company data as of June 30, 2026; macro projections from the September 2026 IPoM, as the most recent available.</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APPENDIX 8: CORPORATE GOVERNANCE AND SUSTAINABILITY</w:t>
      </w:r>
    </w:p>
    <w:p>
      <w:pPr>
        <w:keepNext w:val="false"/>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keepNext w:val="false"/>
        <w:pBdr>
          <w:bottom w:val="single" w:color="E9004B" w:sz="8" w:space="1"/>
        </w:pBdr>
        <w:spacing w:after="50" w:before="60"/>
      </w:pPr>
      <w:r>
        <w:rPr>
          <w:rFonts w:ascii="Arial" w:cs="Arial" w:eastAsia="Arial" w:hAnsi="Arial"/>
          <w:b/>
          <w:bCs/>
          <w:color w:val="14284B"/>
          <w:sz w:val="16"/>
          <w:szCs w:val="16"/>
        </w:rPr>
        <w:t xml:space="preserve">1. OWNERSHIP STRUCTURE (31-DEC-2025)</w:t>
      </w:r>
    </w:p>
    <w:p>
      <w:pPr>
        <w:keepNext w:val="false"/>
        <w:spacing w:after="30" w:before="20" w:line="228" w:lineRule="auto"/>
      </w:pPr>
      <w:r>
        <w:rPr>
          <w:rFonts w:ascii="Arial" w:cs="Arial" w:eastAsia="Arial" w:hAnsi="Arial"/>
          <w:b/>
          <w:bCs/>
          <w:color w:val="14284B"/>
          <w:sz w:val="14"/>
          <w:szCs w:val="14"/>
        </w:rPr>
        <w:t xml:space="preserve">Figure 8.1: </w:t>
      </w:r>
      <w:r>
        <w:rPr>
          <w:rFonts w:ascii="Arial" w:cs="Arial" w:eastAsia="Arial" w:hAnsi="Arial"/>
          <w:color w:val="14284B"/>
          <w:sz w:val="14"/>
          <w:szCs w:val="14"/>
        </w:rPr>
        <w:t xml:space="preserve">Shareholding by type of shareholder</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keepNext w:val="false"/>
        <w:spacing w:after="30" w:before="20" w:line="228" w:lineRule="auto"/>
      </w:pPr>
      <w:r>
        <w:rPr>
          <w:rFonts w:ascii="Arial" w:cs="Arial" w:eastAsia="Arial" w:hAnsi="Arial"/>
          <w:b/>
          <w:bCs/>
          <w:color w:val="14284B"/>
          <w:sz w:val="14"/>
          <w:szCs w:val="14"/>
        </w:rPr>
        <w:t xml:space="preserve">Figure 8.2: </w:t>
      </w:r>
      <w:r>
        <w:rPr>
          <w:rFonts w:ascii="Arial" w:cs="Arial" w:eastAsia="Arial" w:hAnsi="Arial"/>
          <w:color w:val="14284B"/>
          <w:sz w:val="14"/>
          <w:szCs w:val="14"/>
        </w:rPr>
        <w:t xml:space="preserve">Board members (red: independent director; blue: chairman)</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Breaches of laws and regulations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4. STAKEHOLDER ENGAGEMENT MODEL</w:t>
      </w:r>
    </w:p>
    <w:p>
      <w:pPr>
        <w:keepNext w:val="false"/>
        <w:spacing w:after="30" w:before="20" w:line="228" w:lineRule="auto"/>
      </w:pPr>
      <w:r>
        <w:rPr>
          <w:rFonts w:ascii="Arial" w:cs="Arial" w:eastAsia="Arial" w:hAnsi="Arial"/>
          <w:b/>
          <w:bCs/>
          <w:color w:val="14284B"/>
          <w:sz w:val="14"/>
          <w:szCs w:val="14"/>
        </w:rPr>
        <w:t xml:space="preserve">Figure 8.3: </w:t>
      </w:r>
      <w:r>
        <w:rPr>
          <w:rFonts w:ascii="Arial" w:cs="Arial" w:eastAsia="Arial" w:hAnsi="Arial"/>
          <w:color w:val="14284B"/>
          <w:sz w:val="14"/>
          <w:szCs w:val="14"/>
        </w:rPr>
        <w:t xml:space="preserve">Implementation process of the engagement model</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Leadership</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Participation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8.4: </w:t>
            </w:r>
            <w:r>
              <w:rPr>
                <w:rFonts w:ascii="Arial" w:cs="Arial" w:eastAsia="Arial" w:hAnsi="Arial"/>
                <w:color w:val="14284B"/>
                <w:sz w:val="14"/>
                <w:szCs w:val="14"/>
              </w:rPr>
              <w:t xml:space="preserve">Waste generation by country</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keepNext w:val="false"/>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keepNext w:val="false"/>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9: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Driver</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2026E anchor</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actual + 2H26E repeating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Interim FS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Inflation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Leases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Real same-store growth (ex-parking)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Midpoints of company appraisal ranges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Occupancy</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Colombia 97.5% flat;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actual; Peru back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Pipeline GLA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projects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Post-2028 expansion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 year opening from 2029E (55% Chile / 45% Peru); USD 3,603/m² indexed to CPI, spent 50% in t−2 and 50% in t−1; 80.9% EBITDA margin; 6.9% yield on cost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Average organic GLA 2022, 2023, 2025; pipeline cost per 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year-end 2026–28; purchasing-power parity thereafter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 Oct 2026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EBITDA margin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of revenue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LTM 2Q26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Cash tax rate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current tax; shields run off</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Project capex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445m remaining at Jun-26, spread to final opening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Maintenance + IT capex</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of revenue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Working capital</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FS Dec-25, first year-end with full Peru</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Leverage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debt / EBITDA 2.36x (Jun-26) → 3.5x by Dec-31E, linear; cash above the plan returned via buybacks or special dividends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 of debt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financial cost 3.08% of opening net debt + 25bp real per turn of leverage above 2.36x; UF indexation on 79% of debt</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0.7m LTM vs 55.2m in 2023), Gran Plaza; undated Chile projects replaced by the post-2028 expansion</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No date or immaterial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of distributable profit, one-year lag, plus the additional distributions above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results release; Bloomberg ECFC;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10: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gains &amp;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Net income attributable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attributable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 sheet</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and equivalents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assets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Gross financial debt</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Deferred tax liabilities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Equity attributable to owners</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Equity issued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LTM = FY2025 − 1H25 + 1H26. 2024 as restated in Dec-25; 2022A from restated Dec-23 statements; 2022 financing lines not in the files used. Source: Plaza S.A. financial statements (CMF) Dec-24, Dec-25,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11: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at 27%, IC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inv. property)</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costs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Receivable days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Jun-26 leverage on LTM EBITDA; operating costs = cost of sales + admin (1H26). Dec-24 receivable days n.m. (Peru consolidated one month). Jun-26 returns need the Jun-25 balance sheet. Source: Plaza S.A. financial statements (CMF); MD&amp;A 1H26; Team analysis.</w:t>
            </w:r>
          </w:p>
          <w:p>
            <w:pPr>
              <w:keepNext w:val="false"/>
              <w:spacing w:after="30" w:before="100" w:line="228" w:lineRule="auto"/>
            </w:pPr>
            <w:r>
              <w:rPr>
                <w:rFonts w:ascii="Arial" w:cs="Arial" w:eastAsia="Arial" w:hAnsi="Arial"/>
                <w:b/>
                <w:bCs/>
                <w:color w:val="14284B"/>
                <w:sz w:val="14"/>
                <w:szCs w:val="14"/>
              </w:rPr>
              <w:t xml:space="preserve">Appendix 12: </w:t>
            </w:r>
            <w:r>
              <w:rPr>
                <w:rFonts w:ascii="Arial" w:cs="Arial" w:eastAsia="Arial" w:hAnsi="Arial"/>
                <w:color w:val="14284B"/>
                <w:sz w:val="14"/>
                <w:szCs w:val="14"/>
              </w:rPr>
              <w:t xml:space="preserve">The EBITDA we use is the company's: fair-value gains are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income (mostly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adjusted</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Bloomberg's EBITDA field includes fair-value gains and is not used. Source: Plaza S.A. financial statements (CMF), Notes 23.1–23.3; 2Q26 release;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13: </w:t>
            </w:r>
            <w:r>
              <w:rPr>
                <w:rFonts w:ascii="Arial" w:cs="Arial" w:eastAsia="Arial" w:hAnsi="Arial"/>
                <w:color w:val="14284B"/>
                <w:sz w:val="14"/>
                <w:szCs w:val="14"/>
              </w:rPr>
              <w:t xml:space="preserve">Base-case projection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Peru</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Eliminations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post-2028 expansion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Revenue</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Growth</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tax rate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maintenance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post-2028 expansion</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working capital</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Ordinary dividends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Additional distributions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1H26 actual + 2H26E; capex includes CLP 84.2bn spent in 1H26; Δ working capital and additional distributions cover 2H26E only. FFO = (EBITDA − net financial cost) × (1 − cash tax), before minorities (~1%); distributable profit = FFO − UF indexation. Source: valuation workbook v2 (DCF, Deuda and Expansion sheets); Team analysis.</w:t>
            </w:r>
          </w:p>
          <w:p>
            <w:pPr>
              <w:keepNext w:val="false"/>
              <w:spacing w:after="30" w:before="100" w:line="228" w:lineRule="auto"/>
            </w:pPr>
            <w:r>
              <w:rPr>
                <w:rFonts w:ascii="Arial" w:cs="Arial" w:eastAsia="Arial" w:hAnsi="Arial"/>
                <w:b/>
                <w:bCs/>
                <w:color w:val="14284B"/>
                <w:sz w:val="14"/>
                <w:szCs w:val="14"/>
              </w:rPr>
              <w:t xml:space="preserve">Appendix 14: </w:t>
            </w:r>
            <w:r>
              <w:rPr>
                <w:rFonts w:ascii="Arial" w:cs="Arial" w:eastAsia="Arial" w:hAnsi="Arial"/>
                <w:color w:val="14284B"/>
                <w:sz w:val="14"/>
                <w:szCs w:val="14"/>
              </w:rPr>
              <w:t xml:space="preserve">Like-for-like, Mallplaza earns the highest normalized ROE of its local peers (FY2025)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 / opening property</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investment property</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attributable, YE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normalized on audited distributable profit; peers on net income − fair-value gains × (1 − 27%). Parque Arauco property excludes JVs, overstating its LTV. Source: Plaza S.A. financial statements (CMF); Bloomberg FA as-reported (PARAUCO CI, CENCOMAL CI; export 28 Sep 2026); Team analysis.</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APPENDIX 15: DISCOUNTED CASH FLOW</w:t>
      </w:r>
    </w:p>
    <w:p>
      <w:pPr>
        <w:keepNext w:val="false"/>
        <w:shd w:fill="EEF1F6" w:color="auto" w:val="clear"/>
        <w:spacing w:after="40" w:line="216" w:lineRule="auto"/>
        <w:jc w:val="both"/>
      </w:pPr>
      <w:r>
        <w:rPr>
          <w:rFonts w:ascii="Arial" w:cs="Arial" w:eastAsia="Arial" w:hAnsi="Arial"/>
          <w:color w:val="1A1A1A"/>
          <w:sz w:val="15"/>
          <w:szCs w:val="15"/>
        </w:rPr>
        <w:t xml:space="preserve">FCFF in nominal CLP from 30-Jun-26, with the mid-period convention and each period's WACC (Appendix 19). Terminal value uses 2032E FCFF with 3.0% nominal g (0% real, no reinvestment because RONIC is below the real WACC) and the 10.41% terminal WACC, and includes 108,301 m² of GLA maturing after 2031. It accounts for 76% of EV.</w:t>
      </w:r>
    </w:p>
    <w:p>
      <w:pPr>
        <w:keepNext w:val="false"/>
        <w:pBdr>
          <w:bottom w:val="single" w:color="E9004B" w:sz="8" w:space="1"/>
        </w:pBdr>
        <w:spacing w:after="50" w:before="80"/>
      </w:pPr>
      <w:r>
        <w:rPr>
          <w:rFonts w:ascii="Arial" w:cs="Arial" w:eastAsia="Arial" w:hAnsi="Arial"/>
          <w:b/>
          <w:bCs/>
          <w:color w:val="14284B"/>
          <w:sz w:val="16"/>
          <w:szCs w:val="16"/>
        </w:rPr>
        <w:t xml:space="preserve">A. FREE CASH FLOW TO THE FIRM BY PERIOD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capex (pipeline + maintenance)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capex / terminal reinvestment</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of the period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Discount factor (mid-period)</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 / of terminal value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FROM ENTERPRISE VALUE TO VALUE PER 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Item</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million</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explicit FCFF (2H26E–2031E)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terminal value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Enterprise value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debt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Minorities (book)</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Equity value / per share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DCF VALUE SENSITIVITY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bp</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Terminal value at 31-Dec-31: CLP 7,133,037 million (implied cap rate 10.1%; implied LTM EV/EBITDA 9.9x). 2H26E: half year. Source: model v2, DCF and Sensibilidad sheets; 2,190 million shares.</w:t>
      </w:r>
    </w:p>
    <w:p>
      <w:pPr>
        <w:keepNext w:val="false"/>
        <w:pBdr>
          <w:bottom w:val="single" w:color="14284B" w:sz="18" w:space="2"/>
        </w:pBdr>
        <w:spacing w:after="80" w:before="260"/>
      </w:pPr>
      <w:r>
        <w:rPr>
          <w:rFonts w:ascii="Arial" w:cs="Arial" w:eastAsia="Arial" w:hAnsi="Arial"/>
          <w:b/>
          <w:bCs/>
          <w:color w:val="14284B"/>
          <w:sz w:val="30"/>
          <w:szCs w:val="30"/>
        </w:rPr>
        <w:t xml:space="preserve">APPENDIX 16: FORECAST ASSUMPTIONS</w:t>
      </w:r>
    </w:p>
    <w:p>
      <w:pPr>
        <w:keepNext w:val="false"/>
        <w:shd w:fill="EEF1F6" w:color="auto" w:val="clear"/>
        <w:spacing w:after="40" w:line="216" w:lineRule="auto"/>
        <w:jc w:val="both"/>
      </w:pPr>
      <w:r>
        <w:rPr>
          <w:rFonts w:ascii="Arial" w:cs="Arial" w:eastAsia="Arial" w:hAnsi="Arial"/>
          <w:color w:val="1A1A1A"/>
          <w:sz w:val="15"/>
          <w:szCs w:val="15"/>
        </w:rPr>
        <w:t xml:space="preserve">The base forecast follows the team's operating engine (announced pipeline to 2028); from 2029 a continuous expansion is added at the historical opening pace. 2026E revenue is calendar-year; the 2H26E period deducts actual 1H26 (CLP 339,530 million of revenue).</w:t>
      </w:r>
    </w:p>
    <w:p>
      <w:pPr>
        <w:keepNext w:val="false"/>
        <w:pBdr>
          <w:bottom w:val="single" w:color="E9004B" w:sz="8" w:space="1"/>
        </w:pBdr>
        <w:spacing w:after="50" w:before="80"/>
      </w:pPr>
      <w:r>
        <w:rPr>
          <w:rFonts w:ascii="Arial" w:cs="Arial" w:eastAsia="Arial" w:hAnsi="Arial"/>
          <w:b/>
          <w:bCs/>
          <w:color w:val="14284B"/>
          <w:sz w:val="16"/>
          <w:szCs w:val="16"/>
        </w:rPr>
        <w:t xml:space="preserve">A. REVENUE, CAPEX AND WORKING CAPITAL FORECAST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(calendar year)</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 growth</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 margin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 (USD million)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Average USDCLP</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(5.5% of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Total base capex</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capex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cost per m² (CLP million, CPI)</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CONTINUOUS EXPANSION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per year from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Basis: organic average 2022, 2023 and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under way (2Q26 release)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million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 per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disbursement</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in t−2 / 50% in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Revenue ramp (year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mix;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real after-tax RONIC</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OPERATIONS, CAPITAL AND TERMINAL VALUE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2Q26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of revenue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revenue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working capital / revenue (Dec-25)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Receivables / advance rents (Dec-25, CLP million)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(real) terminal g</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Target net debt/EBITDA; real Kd per turn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in 2031; +25 bp</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on distributable income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Source: model v2, Forecast_Base, Expansion, Capital_Trabajo and Supuestos sheets (2Q26 release; Dec-25 financial statements; Exhibits v6).</w:t>
      </w:r>
    </w:p>
    <w:p>
      <w:pPr>
        <w:keepNext w:val="false"/>
        <w:pBdr>
          <w:bottom w:val="single" w:color="14284B" w:sz="18" w:space="2"/>
        </w:pBdr>
        <w:spacing w:after="80" w:before="0"/>
      </w:pPr>
      <w:r>
        <w:rPr>
          <w:rFonts w:ascii="Arial" w:cs="Arial" w:eastAsia="Arial" w:hAnsi="Arial"/>
          <w:b/>
          <w:bCs/>
          <w:color w:val="14284B"/>
          <w:sz w:val="30"/>
          <w:szCs w:val="30"/>
        </w:rPr>
        <w:t xml:space="preserve">APPENDIX 17: COMPARABLE MULTIPLES</w:t>
      </w:r>
    </w:p>
    <w:p>
      <w:pPr>
        <w:keepNext w:val="false"/>
        <w:shd w:fill="EEF1F6" w:color="auto" w:val="clear"/>
        <w:spacing w:after="40" w:line="216" w:lineRule="auto"/>
        <w:jc w:val="both"/>
      </w:pPr>
      <w:r>
        <w:rPr>
          <w:rFonts w:ascii="Arial" w:cs="Arial" w:eastAsia="Arial" w:hAnsi="Arial"/>
          <w:color w:val="1A1A1A"/>
          <w:sz w:val="15"/>
          <w:szCs w:val="15"/>
        </w:rPr>
        <w:t xml:space="preserve">We use the same peer set as the WACC beta. LTM EV/EBITDA is the main method (neutral to leverage and to IAS 40 revaluation); the multiple weights the Chilean median at 70% and the common-set median at 30%. P/E and P/BV mix fair-value and cost-basis peers: reference only. Price at 30-Sep-26; Bloomberg net debt and FX at 30-Jun-26.</w:t>
      </w:r>
    </w:p>
    <w:p>
      <w:pPr>
        <w:keepNext w:val="false"/>
        <w:pBdr>
          <w:bottom w:val="single" w:color="E9004B" w:sz="8" w:space="1"/>
        </w:pBdr>
        <w:spacing w:after="50" w:before="80"/>
      </w:pPr>
      <w:r>
        <w:rPr>
          <w:rFonts w:ascii="Arial" w:cs="Arial" w:eastAsia="Arial" w:hAnsi="Arial"/>
          <w:b/>
          <w:bCs/>
          <w:color w:val="14284B"/>
          <w:sz w:val="16"/>
          <w:szCs w:val="16"/>
        </w:rPr>
        <w:t xml:space="preserve">A. PEERS (CLP MILLION; MULTIPLES IN TIMES)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LTM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LTM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LTM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(excluded)</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Common-set median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median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VALUE BY MULTIPLE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Multiple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Weighted</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Metric (CLP mn)</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LTM (main)</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LTM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LTM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SENSITIVITY TO THE WEIGHTING</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Chile weight</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Multiple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 value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Bridge: 14.36x × LTM EBITDA of CLP 544,935 million = EV 7,825,944 − Bloomberg net debt 1,311,569 − minorities 50,841 = CLP 2,951 per share (2,190 million shares). Fibra Danhos is excluded for its FIBRA regime and because it has no beta in the WACC; IRSA reports under IAS 29. Source: Bloomberg; model v2, Comparables and Precio_Objetivo sheets;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APPENDIX 18: SCENARIOS AND ROBUSTNESS</w:t>
      </w:r>
    </w:p>
    <w:p>
      <w:pPr>
        <w:keepNext w:val="false"/>
        <w:shd w:fill="EEF1F6" w:color="auto" w:val="clear"/>
        <w:spacing w:after="40" w:line="216" w:lineRule="auto"/>
        <w:jc w:val="both"/>
      </w:pPr>
      <w:r>
        <w:rPr>
          <w:rFonts w:ascii="Arial" w:cs="Arial" w:eastAsia="Arial" w:hAnsi="Arial"/>
          <w:color w:val="1A1A1A"/>
          <w:sz w:val="15"/>
          <w:szCs w:val="15"/>
        </w:rPr>
        <w:t xml:space="preserve">No scenario or alternative method reaches the CLP 3,555 price. Scenarios are computed with the DCF v2 replica (which reproduces the base value exactly), and the target keeps the 80% DCF weight and the CLP 2,951 multiples value.</w:t>
      </w:r>
    </w:p>
    <w:p>
      <w:pPr>
        <w:keepNext w:val="false"/>
        <w:pBdr>
          <w:bottom w:val="single" w:color="E9004B" w:sz="8" w:space="1"/>
        </w:pBdr>
        <w:spacing w:after="50" w:before="80"/>
      </w:pPr>
      <w:r>
        <w:rPr>
          <w:rFonts w:ascii="Arial" w:cs="Arial" w:eastAsia="Arial" w:hAnsi="Arial"/>
          <w:b/>
          <w:bCs/>
          <w:color w:val="14284B"/>
          <w:sz w:val="16"/>
          <w:szCs w:val="16"/>
        </w:rPr>
        <w:t xml:space="preserve">A. 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in every period; EBITDA margin 75.8% (historical low) instead of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 v2: WACC 10.54% → 10.41%; g 3.0%; margin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g 2.5%; margin 81.3% (historical high); cash tax capped at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Appraisers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8.72% (5.55% real, Note 11) in every period</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ALTERNATIVE METHODS AND INPUTS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Test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unlevered value</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shields of debt</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per share</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peso bond 5.43% (WACC −107 bp)</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constant WACC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implied by the price: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DEBT TARGET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ND/EBITDA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bp</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(current)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and bull: EBITDA margin at the historical low/high (4Q23 and 3Q25 earnings releases) in every year; the bull case does not recompute the WACC tax shield. Source: DCF v2 replica (riesgos/graficos/tornado_operacional.py); model v2, APV, Sensibilidad (table 2, static) and DCF sheets; Figuras_Valuacion, WACC_Construccion and V6.</w:t>
      </w:r>
    </w:p>
    <w:p>
      <w:pPr>
        <w:keepNext w:val="false"/>
        <w:pBdr>
          <w:bottom w:val="single" w:color="14284B" w:sz="18" w:space="2"/>
        </w:pBdr>
        <w:spacing w:after="80" w:before="0"/>
      </w:pPr>
      <w:r>
        <w:rPr>
          <w:rFonts w:ascii="Arial" w:cs="Arial" w:eastAsia="Arial" w:hAnsi="Arial"/>
          <w:b/>
          <w:bCs/>
          <w:color w:val="14284B"/>
          <w:sz w:val="30"/>
          <w:szCs w:val="30"/>
        </w:rPr>
        <w:t xml:space="preserve">APPENDIX 19: WACC CONSTRUCTION</w:t>
      </w:r>
    </w:p>
    <w:p>
      <w:pPr>
        <w:keepNext w:val="false"/>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weighted CRP</w:t>
      </w:r>
    </w:p>
    <w:p>
      <w:pPr>
        <w:keepNext w:val="false"/>
        <w:spacing w:after="10"/>
        <w:ind w:left="240"/>
      </w:pPr>
      <w:r>
        <w:rPr>
          <w:rFonts w:ascii="Arial" w:cs="Arial" w:eastAsia="Arial" w:hAnsi="Arial"/>
          <w:b/>
          <w:bCs/>
          <w:color w:val="14284B"/>
          <w:sz w:val="14"/>
          <w:szCs w:val="14"/>
        </w:rPr>
        <w:t xml:space="preserve">Ke CLP = (1 + Ke USD) × (1 + π Chile) / (1 + π US) − 1</w:t>
      </w:r>
    </w:p>
    <w:p>
      <w:pPr>
        <w:keepNext w:val="false"/>
        <w:spacing w:after="10"/>
        <w:ind w:left="240"/>
      </w:pPr>
      <w:r>
        <w:rPr>
          <w:rFonts w:ascii="Arial" w:cs="Arial" w:eastAsia="Arial" w:hAnsi="Arial"/>
          <w:b/>
          <w:bCs/>
          <w:color w:val="14284B"/>
          <w:sz w:val="14"/>
          <w:szCs w:val="14"/>
        </w:rPr>
        <w:t xml:space="preserve">Kd CLP = (1 + real Kd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keepNext w:val="false"/>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Figure 19.1: </w:t>
            </w:r>
            <w:r>
              <w:rPr>
                <w:rFonts w:ascii="Arial" w:cs="Arial" w:eastAsia="Arial" w:hAnsi="Arial"/>
                <w:color w:val="14284B"/>
                <w:sz w:val="14"/>
                <w:szCs w:val="14"/>
              </w:rPr>
              <w:t xml:space="preserve">Nominal WACC and D/E by period</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keepNext w:val="false"/>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keepNext w:val="false"/>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APPENDIX 20: MACROECONOMIC AND GEOPOLITICAL BACKDROP</w:t>
      </w:r>
    </w:p>
    <w:p>
      <w:pPr>
        <w:keepNext w:val="false"/>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Sep-26 average</w:t>
            </w:r>
          </w:p>
          <w:p>
            <w:pPr>
              <w:keepNext w:val="false"/>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10Y UST, 8-Oct-26</w:t>
            </w:r>
          </w:p>
          <w:p>
            <w:pPr>
              <w:keepNext w:val="false"/>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bp</w:t>
            </w:r>
          </w:p>
          <w:p>
            <w:pPr>
              <w:keepNext w:val="false"/>
              <w:spacing w:after="10" w:line="216" w:lineRule="auto"/>
            </w:pPr>
            <w:r>
              <w:rPr>
                <w:rFonts w:ascii="Arial" w:cs="Arial" w:eastAsia="Arial" w:hAnsi="Arial"/>
                <w:b/>
                <w:bCs/>
                <w:color w:val="14284B"/>
                <w:sz w:val="13"/>
                <w:szCs w:val="13"/>
              </w:rPr>
              <w:t xml:space="preserve">France–Germany spread</w:t>
            </w:r>
          </w:p>
          <w:p>
            <w:pPr>
              <w:keepNext w:val="false"/>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IMF 2026: GDP | inflation</w:t>
            </w:r>
          </w:p>
          <w:p>
            <w:pPr>
              <w:keepNext w:val="false"/>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Chile 2026 GDP (BCCh)</w:t>
            </w:r>
          </w:p>
          <w:p>
            <w:pPr>
              <w:keepNext w:val="false"/>
              <w:spacing w:after="0" w:line="216" w:lineRule="auto"/>
            </w:pPr>
            <w:r>
              <w:rPr>
                <w:rFonts w:ascii="Arial" w:cs="Arial" w:eastAsia="Arial" w:hAnsi="Arial"/>
                <w:color w:val="5F5F5F"/>
                <w:sz w:val="12"/>
                <w:szCs w:val="12"/>
              </w:rPr>
              <w:t xml:space="preserve">down from 2–3% expected in Dec-25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keepNext w:val="false"/>
        <w:spacing w:after="30" w:before="40" w:line="228" w:lineRule="auto"/>
      </w:pPr>
      <w:r>
        <w:rPr>
          <w:rFonts w:ascii="Arial" w:cs="Arial" w:eastAsia="Arial" w:hAnsi="Arial"/>
          <w:b/>
          <w:bCs/>
          <w:color w:val="14284B"/>
          <w:sz w:val="14"/>
          <w:szCs w:val="14"/>
        </w:rPr>
        <w:t xml:space="preserve">Figure 20.1: </w:t>
      </w:r>
      <w:r>
        <w:rPr>
          <w:rFonts w:ascii="Arial" w:cs="Arial" w:eastAsia="Arial" w:hAnsi="Arial"/>
          <w:color w:val="14284B"/>
          <w:sz w:val="14"/>
          <w:szCs w:val="14"/>
        </w:rPr>
        <w:t xml:space="preserve">Transmission map: from global shocks to Mallplaza's risks</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Team analysis; figures from Figures 28–30 of the report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20.2: </w:t>
            </w:r>
            <w:r>
              <w:rPr>
                <w:rFonts w:ascii="Arial" w:cs="Arial" w:eastAsia="Arial" w:hAnsi="Arial"/>
                <w:color w:val="14284B"/>
                <w:sz w:val="14"/>
                <w:szCs w:val="14"/>
              </w:rPr>
              <w:t xml:space="preserve">Brent crude oil price, 2022–2026 (USD/barrel)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keepNext w:val="false"/>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20.3: </w:t>
            </w:r>
            <w:r>
              <w:rPr>
                <w:rFonts w:ascii="Arial" w:cs="Arial" w:eastAsia="Arial" w:hAnsi="Arial"/>
                <w:color w:val="14284B"/>
                <w:sz w:val="14"/>
                <w:szCs w:val="14"/>
              </w:rPr>
              <w:t xml:space="preserve">10-year sovereign yields,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keepNext w:val="false"/>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20.4: </w:t>
            </w:r>
            <w:r>
              <w:rPr>
                <w:rFonts w:ascii="Arial" w:cs="Arial" w:eastAsia="Arial" w:hAnsi="Arial"/>
                <w:color w:val="14284B"/>
                <w:sz w:val="14"/>
                <w:szCs w:val="14"/>
              </w:rPr>
              <w:t xml:space="preserve">10-year spreads: France–Germany and Chile–US (bp)</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keepNext w:val="false"/>
              <w:spacing w:after="0" w:before="10" w:line="216" w:lineRule="auto"/>
            </w:pPr>
            <w:r>
              <w:rPr>
                <w:rFonts w:ascii="Arial" w:cs="Arial" w:eastAsia="Arial" w:hAnsi="Arial"/>
                <w:color w:val="5F5F5F"/>
                <w:sz w:val="11"/>
                <w:szCs w:val="11"/>
              </w:rPr>
              <w:t xml:space="preserve">Source: Team calculation with Figure 20.3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20.5: </w:t>
            </w:r>
            <w:r>
              <w:rPr>
                <w:rFonts w:ascii="Arial" w:cs="Arial" w:eastAsia="Arial" w:hAnsi="Arial"/>
                <w:color w:val="14284B"/>
                <w:sz w:val="14"/>
                <w:szCs w:val="14"/>
              </w:rPr>
              <w:t xml:space="preserve">World growth and inflation,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keepNext w:val="false"/>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20.6: </w:t>
            </w:r>
            <w:r>
              <w:rPr>
                <w:rFonts w:ascii="Arial" w:cs="Arial" w:eastAsia="Arial" w:hAnsi="Arial"/>
                <w:color w:val="14284B"/>
                <w:sz w:val="14"/>
                <w:szCs w:val="14"/>
              </w:rPr>
              <w:t xml:space="preserve">Chile: GDP, inflation and policy rate,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keepNext w:val="false"/>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keepNext w:val="false"/>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of earnings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bp = target price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traffic −1.3% / +2.4% of value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bp: target price from CLP 2,076 to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footfall and sales; pressure on occupancy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headerReference w:type="default" r:id="rId9"/>
      <w:footerReference w:type="default" r:id="rId10"/>
      <w:type w:val="nextPage"/>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4e4f513e480b807c532d9e3f3e7875c4083abcd2.png"/><Relationship Id="rId12" Type="http://schemas.openxmlformats.org/officeDocument/2006/relationships/image" Target="media/b2b2d7c7efb3f30eb3d2f36989cfa14f2029adbe.png"/><Relationship Id="rId13" Type="http://schemas.openxmlformats.org/officeDocument/2006/relationships/image" Target="media/3e0d5cd7410072f621125f9466a47538b8484785.png"/><Relationship Id="rId14" Type="http://schemas.openxmlformats.org/officeDocument/2006/relationships/image" Target="media/930b12feb78c2a7223e3994135daa5f82e020ffe.png"/><Relationship Id="rId15" Type="http://schemas.openxmlformats.org/officeDocument/2006/relationships/image" Target="media/97008b1080de62d6fb081f52664a91d418d7934e.png"/><Relationship Id="rId16" Type="http://schemas.openxmlformats.org/officeDocument/2006/relationships/image" Target="media/c38872059cd5731903c2ad5041f07c8d4699b365.png"/><Relationship Id="rId17" Type="http://schemas.openxmlformats.org/officeDocument/2006/relationships/image" Target="media/ded5e1657640e653c8c5f59f77745d6d262bbdba.png"/><Relationship Id="rId18" Type="http://schemas.openxmlformats.org/officeDocument/2006/relationships/image" Target="media/9186d6d0fd41b9f3fd8c32d4b6b821345cc10ac1.png"/><Relationship Id="rId19" Type="http://schemas.openxmlformats.org/officeDocument/2006/relationships/image" Target="media/326703e0e66ff70cff5e7cdedeeb00baa383a9ec.png"/><Relationship Id="rId20" Type="http://schemas.openxmlformats.org/officeDocument/2006/relationships/image" Target="media/9570f91f852c6c39aad8d6f047dd2c1bef9ac37e.png"/><Relationship Id="rId21" Type="http://schemas.openxmlformats.org/officeDocument/2006/relationships/image" Target="media/addbc14aaf283e21f2e2e3b805c1e7edd232d409.png"/><Relationship Id="rId22" Type="http://schemas.openxmlformats.org/officeDocument/2006/relationships/image" Target="media/34cf5efedec970dddabf7ad7f0397fa946dde7af.png"/><Relationship Id="rId23" Type="http://schemas.openxmlformats.org/officeDocument/2006/relationships/image" Target="media/67d3af205c0720abae927a295402b8173067a71d.png"/><Relationship Id="rId24" Type="http://schemas.openxmlformats.org/officeDocument/2006/relationships/image" Target="media/0ecdedf336d9450fef0f4340e7d2f3445bf5d5ea.png"/><Relationship Id="rId25" Type="http://schemas.openxmlformats.org/officeDocument/2006/relationships/image" Target="media/100e719272ccd251c35d82999c2cbfdfab008b96.png"/><Relationship Id="rId26" Type="http://schemas.openxmlformats.org/officeDocument/2006/relationships/image" Target="media/0e8de6046ea8cf465c51ece1e2db1d0fdb7f5b9e.png"/><Relationship Id="rId27" Type="http://schemas.openxmlformats.org/officeDocument/2006/relationships/image" Target="media/a98ec5db30a9b2fae58f506a01267ad00c0545c0.png"/><Relationship Id="rId28" Type="http://schemas.openxmlformats.org/officeDocument/2006/relationships/image" Target="media/fbaa45cc822c3cf6d5ceb7547cdd01441f6bb8f4.png"/><Relationship Id="rId29" Type="http://schemas.openxmlformats.org/officeDocument/2006/relationships/image" Target="media/614c883e6f2b898c089b825413644af7dee880dd.png"/><Relationship Id="rId30" Type="http://schemas.openxmlformats.org/officeDocument/2006/relationships/image" Target="media/a62342d9ec50c46f4e7f430f13c67905c743e7ce.png"/><Relationship Id="rId31" Type="http://schemas.openxmlformats.org/officeDocument/2006/relationships/image" Target="media/8328ba562cddad3f672e3301050fb517a3b5f8aa.png"/><Relationship Id="rId32" Type="http://schemas.openxmlformats.org/officeDocument/2006/relationships/image" Target="media/30cb8469be326b2ca7bbe97b9caa7e1c4842f99d.png"/><Relationship Id="rId33" Type="http://schemas.openxmlformats.org/officeDocument/2006/relationships/image" Target="media/11ae97cbbba07ae07141e02f3be12fcfb32209b4.png"/><Relationship Id="rId34" Type="http://schemas.openxmlformats.org/officeDocument/2006/relationships/image" Target="media/d40688d44987d578c4578ea19e236ca614ea843a.png"/><Relationship Id="rId35" Type="http://schemas.openxmlformats.org/officeDocument/2006/relationships/image" Target="media/b3e445c9f34a4a944fb280d19258017788441bf7.png"/><Relationship Id="rId36" Type="http://schemas.openxmlformats.org/officeDocument/2006/relationships/image" Target="media/67c8ea2a55c01eaf39a5b555e17932328157a3b1.png"/><Relationship Id="rId37" Type="http://schemas.openxmlformats.org/officeDocument/2006/relationships/image" Target="media/f93973cef37e97655b8f2ee6a16d436dc31b144b.png"/><Relationship Id="rId38" Type="http://schemas.openxmlformats.org/officeDocument/2006/relationships/image" Target="media/622cee3aa81df98e2bbcd50166634b878e8dd818.png"/><Relationship Id="rId39" Type="http://schemas.openxmlformats.org/officeDocument/2006/relationships/image" Target="media/cf58b765b7de8ff377687c2671163528a8e708f3.png"/><Relationship Id="rId40" Type="http://schemas.openxmlformats.org/officeDocument/2006/relationships/image" Target="media/c59b24049313dff36dc84ade4dcb2534413819d0.png"/><Relationship Id="rId41" Type="http://schemas.openxmlformats.org/officeDocument/2006/relationships/image" Target="media/4629fff7f4d90544c6881dfa0ac0b1581647ead4.png"/><Relationship Id="rId42" Type="http://schemas.openxmlformats.org/officeDocument/2006/relationships/image" Target="media/d810a8de8705d486a1cc41f629d6e44a63c29c7d.png"/><Relationship Id="rId43" Type="http://schemas.openxmlformats.org/officeDocument/2006/relationships/image" Target="media/30db9ba6696526f51fce71150cb064598929c470.png"/><Relationship Id="rId44" Type="http://schemas.openxmlformats.org/officeDocument/2006/relationships/image" Target="media/79483e499b773861f736c4797e4f6cc8c65b3a9f.png"/><Relationship Id="rId45" Type="http://schemas.openxmlformats.org/officeDocument/2006/relationships/image" Target="media/6776e5c5d5e3b831d3a6082e34880dd0764b9702.png"/><Relationship Id="rId46" Type="http://schemas.openxmlformats.org/officeDocument/2006/relationships/image" Target="media/6c32e3d1a1d4ea4565596481224b7e392927ea41.png"/><Relationship Id="rId47" Type="http://schemas.openxmlformats.org/officeDocument/2006/relationships/image" Target="media/fb371acf9afb43003bfd5fcfe998ff3f42126817.png"/><Relationship Id="rId48" Type="http://schemas.openxmlformats.org/officeDocument/2006/relationships/image" Target="media/9d7f4f37ccf94ef7fd235868df77621056da952c.png"/><Relationship Id="rId49" Type="http://schemas.openxmlformats.org/officeDocument/2006/relationships/image" Target="media/1987ead589840fa585f367b9fb74310fee03f7dd.png"/><Relationship Id="rId50" Type="http://schemas.openxmlformats.org/officeDocument/2006/relationships/image" Target="media/a1a01b45d6be15873163d7f4df2b5d1388d71092.png"/><Relationship Id="rId51" Type="http://schemas.openxmlformats.org/officeDocument/2006/relationships/image" Target="media/74b785ab5dc6ff2d7a2669dbff7ca479845d79c7.png"/><Relationship Id="rId52" Type="http://schemas.openxmlformats.org/officeDocument/2006/relationships/image" Target="media/cad639ca5e0bdcd7eee0898b91cc8274ca418bf7.png"/><Relationship Id="rId53" Type="http://schemas.openxmlformats.org/officeDocument/2006/relationships/image" Target="media/b75d7c57b9f5e0f71be8fa7975bc23b67c6f4a4a.png"/><Relationship Id="rId54" Type="http://schemas.openxmlformats.org/officeDocument/2006/relationships/image" Target="media/7640993cad1d25805eb3ec4b6d40d373df297a1b.png"/><Relationship Id="rId55" Type="http://schemas.openxmlformats.org/officeDocument/2006/relationships/image" Target="media/097d9e68442f8586148a911de890f9b42b249cf6.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2026-10-16T02:21:56.945Z</dcterms:created>
  <dcterms:modified xsi:type="dcterms:W3CDTF">2026-10-16T02:21:56.945Z</dcterms:modified>
</cp:coreProperties>
</file>

<file path=docProps/custom.xml><?xml version="1.0" encoding="utf-8"?>
<Properties xmlns="http://schemas.openxmlformats.org/officeDocument/2006/custom-properties" xmlns:vt="http://schemas.openxmlformats.org/officeDocument/2006/docPropsVTypes"/>
</file>