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is a high-probability rise in interest rates that lifts the WACC, followed by inflation and weaker macro momentum. None of the risks analysed takes the target price above the current share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effect of UF indexation (Figure 26). Interest-rate risk (FR1) sits in the most severe cell (high/high), and inflation and the macro cycle (MR1) also fall in the red zone; FX (MR3) sits in the centre.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1,693 (−10.0%), and the historical floor of same-store rent growth takes it to CLP 1,805 (−4.0%) (Figure 24). </w:t>
            </w:r>
            <w:r>
              <w:rPr>
                <w:rFonts w:ascii="Arial" w:cs="Arial" w:eastAsia="Arial" w:hAnsi="Arial"/>
                <w:i/>
                <w:iCs/>
                <w:color w:val="5F5F5F"/>
                <w:sz w:val="16"/>
                <w:szCs w:val="16"/>
              </w:rPr>
              <w:t xml:space="preserve">(Non‑systematic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In 2025 Mallplaza already converted 14,000 m² of large-format space in five malls. The impact is bounded by the traffic and rent bars of the tornado (−1.3% to −4.0%, Figure 24). </w:t>
            </w:r>
            <w:r>
              <w:rPr>
                <w:rFonts w:ascii="Arial" w:cs="Arial" w:eastAsia="Arial" w:hAnsi="Arial"/>
                <w:i/>
                <w:iCs/>
                <w:color w:val="5F5F5F"/>
                <w:sz w:val="16"/>
                <w:szCs w:val="16"/>
              </w:rPr>
              <w:t xml:space="preserve">(Non‑systematic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6.7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6.6% and 12.4%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(base case) takes CLP 38,691 million off earnings (Figure 26). Weaker consumption hurts tenant sales and, without GDP growth, the new business lines Mallplaza has captured do not emerge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weaker PEN or COP would lower consolidated revenue and EBITDA in pesos.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states that it uses hedging instruments for its currency exposure, and in each country revenue and operating costs are in local currency.</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to corporate tax and permitting create uncertainty when evaluating pipeline projects (USD 613 million, 170,200 m² to 2028). Permit delays push back revenue, although the value sensitivity is limited.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pro-market governments in all three countries (Kast, Fujimori, De La Espriella). Law 21,770 shortens permitting times, and the Reconstruction Law cuts corporate tax from 27% to 23% in 2029 (the model uses 27%).</w:t>
            </w:r>
          </w:p>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The worst operating case, EBITDA margin, takes 10.0% off value (Figure 24), while +100 bp of WACC takes 12.4% off the target price (Figure 25). The current price implies a cap rate close to 6.0%, versus 10.0% in the DCF: the market prices in a low discount rate, which increases the stock's exposure to higher rates. A higher g lowers value because RONIC (5.0%) is below the real WACC (7.2%). Even the best cell in Figure 25 (CLP 2,511)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WACC 10.37%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Earnings sensitivity to a rise in the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reported sensitivity; +1% and +2% linear extrapolation. Source: Mallplaza financial statements Jun-26, Note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be56f0851d34ea68d3b8d97ec63bcf36aa4828.png"/><Relationship Id="rId10" Type="http://schemas.openxmlformats.org/officeDocument/2006/relationships/image" Target="media/a6750a0f41b3a67834cac15d4a1ed5f0370191e5.png"/><Relationship Id="rId11" Type="http://schemas.openxmlformats.org/officeDocument/2006/relationships/image" Target="media/6cbf728d739090d50e2ff8aff085c181e835cddc.png"/><Relationship Id="rId12" Type="http://schemas.openxmlformats.org/officeDocument/2006/relationships/image" Target="media/7226c19ffe9fb2627107f1f56ebf323c9a2133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2026-10-11T20:54:50.904Z</dcterms:created>
  <dcterms:modified xsi:type="dcterms:W3CDTF">2026-10-11T20:54:50.904Z</dcterms:modified>
</cp:coreProperties>
</file>

<file path=docProps/custom.xml><?xml version="1.0" encoding="utf-8"?>
<Properties xmlns="http://schemas.openxmlformats.org/officeDocument/2006/custom-properties" xmlns:vt="http://schemas.openxmlformats.org/officeDocument/2006/docPropsVTypes"/>
</file>