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23 clasifica cada riesgo según su probabilidad y su impacto sobre el valor por acción (Figuras 24 a 26). Los riesgos que no se pudieron cuantificar se clasifican según el análisis cualitativo del equipo sobre la empresa.</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24). </w:t>
            </w:r>
            <w:r>
              <w:rPr>
                <w:rFonts w:ascii="Arial" w:cs="Arial" w:eastAsia="Arial" w:hAnsi="Arial"/>
                <w:i/>
                <w:iCs/>
                <w:color w:val="5F5F5F"/>
                <w:sz w:val="16"/>
                <w:szCs w:val="16"/>
              </w:rPr>
              <w:t xml:space="preserve">(No 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24). </w:t>
            </w:r>
            <w:r>
              <w:rPr>
                <w:rFonts w:ascii="Arial" w:cs="Arial" w:eastAsia="Arial" w:hAnsi="Arial"/>
                <w:i/>
                <w:iCs/>
                <w:color w:val="5F5F5F"/>
                <w:sz w:val="16"/>
                <w:szCs w:val="16"/>
              </w:rPr>
              <w:t xml:space="preserve">(No sistemático · Prob. baja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25).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26). El riesgo está en que un menor consumo impida traspasar la UF a las rentas: sin ese traspaso, la UF +3% resta 0,9% al precio objetivo. Un menor consumo también frena las nuevas líneas de negocio (Anexo [X]). </w:t>
            </w:r>
            <w:r>
              <w:rPr>
                <w:rFonts w:ascii="Arial" w:cs="Arial" w:eastAsia="Arial" w:hAnsi="Arial"/>
                <w:i/>
                <w:iCs/>
                <w:color w:val="5F5F5F"/>
                <w:sz w:val="16"/>
                <w:szCs w:val="16"/>
              </w:rPr>
              <w:t xml:space="preserve">(Sistemático · Prob. alta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24).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Matriz de riesgos</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Tornado de riesgo operacional (CLP por acción)</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spacing w:after="30" w:before="10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Sensibilidad del precio objetivo: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spacing w:after="30" w:before="10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Sensibilidad del precio objetivo a un alza de la UF (CLP por acción)</w:t>
            </w:r>
          </w:p>
          <w:p>
            <w:pPr>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86a4abce57fb872cd303c60ab1117ebc25455f.png"/><Relationship Id="rId10" Type="http://schemas.openxmlformats.org/officeDocument/2006/relationships/image" Target="media/806bcde468984aadc88cffb24a22441c8f646a4a.png"/><Relationship Id="rId11" Type="http://schemas.openxmlformats.org/officeDocument/2006/relationships/image" Target="media/bf577d13a0a682b653e02a9c3ca9b3cb35eae0f3.png"/><Relationship Id="rId12" Type="http://schemas.openxmlformats.org/officeDocument/2006/relationships/image" Target="media/6e4680ecbf0aa76ff00a7a0ea476ccf717a865f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2026-10-14T02:34:16.732Z</dcterms:created>
  <dcterms:modified xsi:type="dcterms:W3CDTF">2026-10-14T02:34:16.732Z</dcterms:modified>
</cp:coreProperties>
</file>

<file path=docProps/custom.xml><?xml version="1.0" encoding="utf-8"?>
<Properties xmlns="http://schemas.openxmlformats.org/officeDocument/2006/custom-properties" xmlns:vt="http://schemas.openxmlformats.org/officeDocument/2006/docPropsVTypes"/>
</file>