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VALUACIÓN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Recomendamos VENDER Mallplaza con un precio objetivo de CLP 2.076 por acción (80% DCF y 20% múltiplos), 41,6% bajo el cierre de CLP 3.555 del 30-sep-26. Ningún método justifica el precio actual (Figura 27).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2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SÍNTESIS Y PONDERACIÓN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Asignamos 80% al DCF porque los flujos de Mallplaza son muy predecibles: el 81,4% de los ingresos UDM son arriendos y el 93% de ellos es renta fija. Los múltiplos (20%) contrastan el modelo con lo que paga hoy el mercado; limitamos su peso porque en Chile solo hay dos pares directos (Parque Arauco y Cencosud Shopping) y porque no capturan la expansión de GLA ni la trayectoria de deuda de Mallplaza, que sí están en el DCF.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DCF: ESTRUCTURA Y TASA DE DESCUENTO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Valoramos el FCFF en dos etapas, en CLP nominales, al 30-jun-26 y con convención de mitad de período. La etapa explícita (2S26E–2031E) incluye el capex y la maduración de los proyectos que abren hasta 2032 (108.301 m² de GLA madura en el año terminal). Desde 2032, una perpetuidad de Gordon explica el 76% del EV, sin GLA neta nueva y con capex solo de mantención (Anexo [B]).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Descomposición del valor.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Los CLP 1.857 por acción son CLP 583 de flujos explícitos más CLP 1.884 de valor terminal, menos CLP 587 de DFN y CLP 23 de minoritarios: el resultado depende sobre todo de la WACC terminal y de g.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WACC.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Cambia por período a medida que la DFN/EBITDA converge de 2,36x a 3,5x en 2031: 10,54% en 2S26E y 10,41% en el terminal (7,32% y 7,20% reales). El Ke se calcula en USD y se pasa a CLP con el diferencial de inflación: Rf 4,98% + beta 1,14 × ERP 4,14% + CRP 1,41% = 11,10% (11,93% en CLP, terminal). La beta re-apalanca la mediana de seis pares (0,94) y el CRP pondera el riesgo país por ingresos (71,8% Chile). El Kd parte del cupón de la última emisión en UF (3,6% real) más 25 pb por vuelta de apalancamiento sobre 2,36x: 4,92% después de impuestos en 2S26E y 5,11% en el terminal. A CLP 3.555 el patrimonio rinde casi lo mismo que esa deuda (Figura 28; detalle en el Anexo [Z]).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Estructura de capital.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La compañía usa su capacidad de deuda para crecer, como en 2024 (3,78x tras comprar Open Plaza Perú): la DFN/EBITDA sube de 2,36x a 3,5x en 2031 y la deuda nueva (CLP 1,40 billones) financia todo el capex del período (CLP 1,11 billones). La caja operativa se distribuye a los accionistas (dividendos más CLP 1,79 billones adicionales). La deuda es más barata que el patrimonio (Kd ~5% vs Ke ~12%) y genera escudo fiscal (Anexo [D]).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DCF: PROYECCIÓN OPERATIVA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EBITDA reportado (CLP 544.935 MM UDM, margen de 80,5%) excluye la revalorización de propiedades (NIC 40); proyectamos un margen de 79,8% hasta 2031E. La tasa de impuesto operacional sube de 16,8% en 2026E a 27% en 2030E, a medida que se diluyen los beneficios vigentes. El capex base (pipeline más mantención de 5,5% de los ingresos) llega a CLP 240.660 MM en 2027 y baja a ~CLP 50.000 MM desde 2029. Desde 2029 abren además 27.075 m² al año (promedio histórico), con capex de CLP 95.000–104.000 MM anuales, una rampa de 35%/90%/100% y un yield on cost de 6,9%, al costo del pipeline identificado (USD 3.603/m²: 170.200 m² y USD 613,2 MM). El capital de trabajo (15,6% × Δ ingresos) exige CLP 7.100–9.900 MM al año y mueve el precio solo ±1,2% (Anexo [C]).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DCF: VALOR TERMINAL Y CAP RATE IMPLÍCITO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Usamos g = 3,0% nominal (0% real). El RONIC real de la expansión (5,0%) es menor que la WACC real (7,2%): crecer más allá del horizonte destruye valor y un g mayor lo reduce (Figura 29). El DCF implica un cap rate de 10,1% sobre el EV y de 11,3% sobre el valor terminal, frente a 6,0% del mercado, 6,4% de los pares chilenos, 7,5% a valor libro y 5,55% de los tasadores (Nota 11) (Figura 30). Esa brecha no es una inconsistencia: es el núcleo de la tesis. Para justificar el precio actual, la WACC tendría que ser 285 pb menor (Figura 31).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Qué descuenta el precio.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 CLP 3.555 el EV implícito (CLP 9,12 billones) es 69% mayor que el nuestro. Justificarlo exigiría flujos 69% mayores para siempre o una WACC de ~4,4% real, apenas 80 pb sobre el Kd real de la compañía (3,6%): casi sin prima para el patrimonio. Y como el RONIC es menor que la WACC, más crecimiento agranda la brecha.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Valor libro y tasadores.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patrimonio contable (CLP 2.201 por acción) ya registra las propiedades a valor razonable, tasadas a ~5,55% real (Nota 11). El mercado paga 1,61x ese valor, más que los tasadores (aun con el efecto de los impuestos diferidos); nuestro precio objetivo implica 0,94x. Incluso con la tasa de los tasadores, el DCF sería CLP 2.660, 25% bajo el precio.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27: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Ningún método justifica el precio actual (CLP por acción)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95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Rango 52 semanas pendiente (Bloomberg). Fuente: análisis del equipo; Bloomberg.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28: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A CLP 3.555 el patrimonio rinde casi lo mismo que la deuda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Tasas reales en UF. Fuente: BCCh (30-06-26); Mallplaza;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29: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Crecer bajo la WACC destruye valor: g real = 0%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2152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15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Arriba: valor DCF según g. Abajo: valor terminal relativo según el RONIC. Fuente: análisis del equipo.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2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VALUACIÓN RELATIVA: MÚLTIPLOS (20%)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set es el mismo de la beta: Parque Arauco y Cencosud Shopping (Chile), Allos, Multiplan e Iguatemi (Brasil) e IRSA (Argentina, con cautela por NIC 29 y un solo analista en el NTM). Excluimos Fibra Danhos, que como FIBRA distribuye el 95% de su resultado fiscal (Anexo [E]). Brasil transa a múltiplos más bajos por sus tasas y primas de riesgo (mediana de 9,0x EV/EBITDA frente a 15,7x en Chile; Figura 32). Como el 71,8% de los ingresos viene de Chile, el múltiplo pondera 70% la mediana chilena y 30% la del set (11,1x): 14,4x.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Usamos EV/EBITDA porque es neutral al apalancamiento y a la revalorización (NIC 40). A 14,4x, el valor es CLP 2.951 por acción. Mallplaza transa a 16,8x LTM: 7% sobre la mediana chilena, bajo Parque Arauco (18,4x) y 17% sobre el múltiplo ponderado (Figura 33). Excluimos el P/E (CLP 8.644, distorsionado por la revalorización). Los múltiplos usan la deuda neta de Bloomberg (CLP 1.311.569 MM), igual que los pares; el DCF, la DFN de la compañía (CLP 1.285.740 MM).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¿Se justifica la prima?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Mallplaza transa 29% sobre Cencosud Shopping (13,0x), pero su EBITDA por m² es solo 1,8% mayor (CLP 59.451 vs 58.384 en el 2T26; ver Industria). Solo al múltiplo de Parque Arauco (18,4x) la acción valdría más que su precio (CLP 3.967), y Parque Arauco opera con una DFN/EBITDA de 5,7x y un pipeline propio, que no son comparables. Al múltiplo de Cencosud valdría CLP 2.621.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El desacuerdo está en la tasa, no en los flujos.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consenso de 13 analistas proyecta un EBITDA NTM de CLP 617.130 MM, ~3% sobre nuestro forecast para el mismo período (~CLP 598.850 MM). Nuestros flujos no son más pesimistas que los del mercado: la diferencia de valor viene de la tasa de descuento que el precio implica.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SENSIBILIDAD Y RIESGOS DE LA VALUACIÓN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Sensibilidad.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Con la WACC ±100 pb y g entre 2,5% y 4,0%, el DCF va de CLP 1.379 a 2.329 (Figura 25; Anexo [F]), y el peor caso operacional histórico le resta 10,0% (Figura 24). Todos los múltiplos quedan bajo el precio: EV/EBITDA LTM CLP 2.951 (−17%), NTM CLP 2.914 (−18%), EV/EBIT CLP 3.098 (−13%), P/BV CLP 3.171 (−11%) y la mediana chilena sola CLP 3.294 (−7%) (Figura 27).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Robustez.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APV da CLP 1.894 (2% sobre el DCF); con el bono en pesos como Rf, el precio objetivo sube a ~CLP 2.439 (−31%; Anexo [Z]); y con un objetivo de DFN/EBITDA entre 2,36x y 4,0x, el DCF va de CLP 1.819 a 1.894.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Escenarios.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Combinamos los supuestos más favorables y más adversos. En el caso bull, un g menor sube el valor porque el RONIC está bajo la WACC. Ni el bull ni la tasa de los tasadores alcanzan el precio:</w:t>
            </w:r>
          </w:p>
          <w:tbl>
            <w:tblPr>
              <w:tblW w:type="dxa" w:w="69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50"/>
              <w:gridCol w:w="3450"/>
              <w:gridCol w:w="750"/>
              <w:gridCol w:w="900"/>
              <w:gridCol w:w="750"/>
            </w:tblGrid>
            <w:tr>
              <w:trPr>
                <w:tblHeader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Escenario</w:t>
                  </w:r>
                </w:p>
              </w:tc>
              <w:tc>
                <w:tcPr>
                  <w:tcW w:type="dxa" w:w="34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Supuestos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DCF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Precio obj.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vs precio</w:t>
                  </w:r>
                </w:p>
              </w:tc>
            </w:tr>
            <w:t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Bear</w:t>
                  </w:r>
                </w:p>
              </w:tc>
              <w:tc>
                <w:tcPr>
                  <w:tcW w:type="dxa" w:w="3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WACC +100 pb; margen EBITDA 75,8% (mínimo histórico)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1.402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1.712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−51,9%</w:t>
                  </w:r>
                </w:p>
              </w:tc>
            </w:tr>
            <w:t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Base</w:t>
                  </w:r>
                </w:p>
              </w:tc>
              <w:tc>
                <w:tcPr>
                  <w:tcW w:type="dxa" w:w="3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Modelo v2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1.857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2.076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−41,6%</w:t>
                  </w:r>
                </w:p>
              </w:tc>
            </w:tr>
            <w:t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Bull</w:t>
                  </w:r>
                </w:p>
              </w:tc>
              <w:tc>
                <w:tcPr>
                  <w:tcW w:type="dxa" w:w="3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WACC −100 pb; g 2,5%; margen 81,3% (máximo); impuesto 23% en Chile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2.506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2.595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−27,0%</w:t>
                  </w:r>
                </w:p>
              </w:tc>
            </w:tr>
            <w:t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Tasadores</w:t>
                  </w:r>
                </w:p>
              </w:tc>
              <w:tc>
                <w:tcPr>
                  <w:tcW w:type="dxa" w:w="3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WACC 8,72% (5,55% real, Nota 11)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2.660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2.719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−23,5%</w:t>
                  </w:r>
                </w:p>
              </w:tc>
            </w:tr>
          </w:tbl>
          <w:p>
            <w:pPr>
              <w:spacing w:after="60"/>
            </w:pP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Precio objetivo.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80% × CLP 1.857 + 20% × CLP 2.951 = CLP 2.076, un retorno de −41,6% frente a CLP 3.555 (30-sep-26). Llevar el DCF del 30-jun al 30-sep-26 lo subiría a ~CLP 1.910 y el precio objetivo a ~CLP 2.118 (−40,4%): la recomendación no cambia.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Retorno total e implícitos.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Con un dividendo esperado de ~CLP 69 por acción (rendimiento de 2,0%), el retorno total esperado es −39,7%. El precio objetivo implica 10,8x EV/EBITDA LTM, un cap rate de 9,3% y 0,94x el valor libro, frente a 16,7x, 6,0% y 1,61x del precio actual.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Catalizadores.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UST 10Y en 5,22%, máximo desde 2002, y la Fed subiendo tasas presionan los cap rates de mercado (Riesgos de inversión, FR1). Cada actualización de la tasación con tasas más altas acerca el valor libro a nuestro DCF y quita soporte al múltiplo actual.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Riesgos al alza.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Una compresión sostenida de los cap rates por mayor demanda institucional por activos defensivos, o una prima estructural para los activos Tier A de Mallplaza (ver Riesgos de inversión).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30: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mercado paga 6,0%; nuestros flujos valen 10,1%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Gran Plaza: hecho posterior, no entra al modelo. Fuente: Mallplaza; Bloomberg; DF;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precio exige una WACC 285 pb menor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781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Múltiplos de los pares vs tasa local</w:t>
            </w:r>
          </w:p>
          <w:tbl>
            <w:tblPr>
              <w:tblW w:type="dxa" w:w="355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550"/>
            </w:tblGrid>
            <w:tr>
              <w:trPr>
                <w:trHeight w:val="1700" w:hRule="atLeast"/>
              </w:trPr>
              <w:tc>
                <w:tcPr>
                  <w:tcW w:type="dxa" w:w="3550"/>
                  <w:tcBorders>
                    <w:top w:val="dashed" w:color="9AA3B5" w:sz="6"/>
                    <w:left w:val="dashed" w:color="9AA3B5" w:sz="6"/>
                    <w:bottom w:val="dashed" w:color="9AA3B5" w:sz="6"/>
                    <w:right w:val="dashed" w:color="9AA3B5" w:sz="6"/>
                  </w:tcBorders>
                  <w:shd w:fill="F7F8FB" w:color="auto" w:val="clear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i/>
                      <w:iCs/>
                      <w:color w:val="5F5F5F"/>
                      <w:sz w:val="14"/>
                      <w:szCs w:val="14"/>
                    </w:rPr>
                    <w:t xml:space="preserve">Gráfico pendiente (falta la NTN-B de Brasil, Bloomberg).</w:t>
                  </w:r>
                </w:p>
              </w:tc>
            </w:tr>
          </w:tbl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Valor implícito por múltiplo de cada par vs DCF y precio (CLP por acción)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962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Precio objetivo = 80% DCF + 20% EV/EBITDA LTM. P/E excluido (incluye revalorización). Fuente: Bloomberg (30-09-26); análisis del equipo.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000" w:right="620" w:bottom="900" w:left="620" w:header="450" w:footer="400" w:gutter="0"/>
          <w:pgNumType/>
          <w:docGrid w:linePitch="360"/>
        </w:sectPr>
      </w:pPr>
    </w:p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[Z]: CONSTRUCCIÓN DE LA WACC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La WACC se calcula por período: el D/E converge linealmente desde la estructura actual (20,0%) hasta la objetivo (28,5%, DFN/EBITDA 3,5x) en 2031. El Ke se construye en dólares (Rf del Tesoro de EE.UU. + beta re-apalancada × ERP + CRP ponderado por ingresos) y se convierte a pesos con el diferencial de inflación.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βL = βU × [1 + (1 − t) × D/E]  (Hamada)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USD = Rf + βL × ERP + CRP ponderado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CLP = (1 + Ke USD) × (1 + π Chile) / (1 + π EE.UU.)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Kd CLP = (1 + Kd real + spread) × (1 + π Chile)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WACC = E/V × Ke CLP + D/V × Kd CLP × (1 − t)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SUPUESTOS DE MERCADO Y ESTRUCTURA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400"/>
        <w:gridCol w:w="3466"/>
      </w:tblGrid>
      <w:tr>
        <w:trPr>
          <w:tblHeader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Supuesto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Valor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Fuente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Rf: bono del Tesoro EE.UU. 10 años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4,98%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Prima por riesgo de mercado (ERP)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4,14%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Damodaran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Meta BCCh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EE.UU. (breakeven 10Y)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2,24%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Bloomberg, jun-26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 de impuesto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Ley de la Renta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real: cupón última emisión en UF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Mallplaza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Aumento del Kd real por vuelta de DFN/EBITDA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0,25%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 inicial (30-06-26) → objetivo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2,36x → 3,5x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Release 2Q26; 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Deuda bruta / market cap (estructura actual, MM CLP)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1.579 / 7.906 (miles)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BETA: PARES DESAPALANCADOS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66"/>
        <w:gridCol w:w="1400"/>
        <w:gridCol w:w="1900"/>
        <w:gridCol w:w="2100"/>
        <w:gridCol w:w="1100"/>
        <w:gridCol w:w="1400"/>
      </w:tblGrid>
      <w:tr>
        <w:trPr>
          <w:tblHeader/>
        </w:trPr>
        <w:tc>
          <w:tcPr>
            <w:tcW w:type="dxa" w:w="2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Empresa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apalancada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Deuda (MM CLP)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 (MM CLP)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Impuesto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desapalancada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1,250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1.700.507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3.828.031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1,075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762.154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3.942.858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0,942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1,164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960.191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2.712.166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0,908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647.397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1.421.560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0,698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0,427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625.047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1.218.777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0,320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1,219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191.478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2.959.845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1,169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Mediana (6 pares incluidos)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0,9428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Bloomberg (betas), Tasa_WACC. Costa Verde se excluye porque no está en el set de comparables.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C. RIESGO PAÍS PONDERADO POR INGRESOS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2700"/>
        <w:gridCol w:w="2400"/>
        <w:gridCol w:w="240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País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Ponderación (ingresos LTM)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CRP (Damodaran)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Aporte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71,8%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1,04%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0,75%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Perú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17,7%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0,27%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0,39%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CRP ponderado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100,0%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1,41%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WACC POR PERÍODO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2S26E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2,46x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2,67x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2,88x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3,29x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23,9%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25,4%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Beta re-apalancada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1,096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1,118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1,128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USD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 (UF) con spread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6,95%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después de impuestos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WACC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real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7,32%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Z1: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WACC nominal y D/E por período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Control: la réplica coincide con la hoja WACC del modelo v2 (diferencia 0 pb en todos los períodos). Fuente: Damodaran; Bloomberg; BCCh; análisis del equipo.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ELECCIÓN DE LA TASA LIBRE DE RIESGO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150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Alternativa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Base del modelo: Rf EE.UU. + CRP Chile, en CLP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6,80%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Bono en pesos 10 años BCCh (30-06-26)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5,43%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Diferencia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Efecto en la WACC terminal (diferencia × E/V)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Valor DCF con el bono en pesos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2.311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Precio objetivo 80/20 en ese caso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2.439</w:t>
                  </w:r>
                </w:p>
              </w:tc>
            </w:tr>
          </w:tbl>
          <w:p>
            <w:pPr>
              <w:spacing w:after="0" w:before="8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Por qué UST + CRP y no el bono en pesos: el bono local ya incluye el riesgo Chile, y sumarle el CRP lo contaría dos veces; además, un 28% de los ingresos viene de Perú y Colombia, cuyo riesgo se agrega con el CRP ponderado.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Es la elección más conservadora: con el bono en pesos el precio objetivo sube a ~CLP 2.439, todavía 31% bajo el precio de CLP 3.555. La recomendación no cambia.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BCCh, Informativo Diario 2-jul-26; réplica del DCF v2 con la WACC desplazada en todos los períodos.</w:t>
            </w:r>
          </w:p>
        </w:tc>
      </w:tr>
    </w:tbl>
    <w:sectPr>
      <w:headerReference w:type="default" r:id="rId9"/>
      <w:footerReference w:type="default" r:id="rId10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Página 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bb348fe2cf624c278d1fb4a8a6a4a69d7e3d979c.png"/><Relationship Id="rId12" Type="http://schemas.openxmlformats.org/officeDocument/2006/relationships/image" Target="media/f4b95aa413771b1f08b7f62face5117b70aaab8f.png"/><Relationship Id="rId13" Type="http://schemas.openxmlformats.org/officeDocument/2006/relationships/image" Target="media/ed3129060ce94d3c1398fcbf8b9268a320428b69.png"/><Relationship Id="rId14" Type="http://schemas.openxmlformats.org/officeDocument/2006/relationships/image" Target="media/2aa57cef7da9e4d5005f807e2f30d9cddf02ab19.png"/><Relationship Id="rId15" Type="http://schemas.openxmlformats.org/officeDocument/2006/relationships/image" Target="media/cfbf5acba453ccf3377ff247a69f09666e6aff6b.png"/><Relationship Id="rId16" Type="http://schemas.openxmlformats.org/officeDocument/2006/relationships/image" Target="media/a14461c60f2f31bfdc29315896668970d5d2ddcf.png"/><Relationship Id="rId17" Type="http://schemas.openxmlformats.org/officeDocument/2006/relationships/image" Target="media/6d343a0f77820887ad9dd1c143c19f131bf77a7f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2026-10-14T02:34:16.174Z</dcterms:created>
  <dcterms:modified xsi:type="dcterms:W3CDTF">2026-10-14T02:34:16.176Z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