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ANÁLISIS FINANCIERO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El motor de arriendos de Mallplaza crece cerca de 3% real, con un margen EBITDA de 80% y un apalancamiento sobre flujos bajo 2,5x; la utilidad reportada, el crecimiento y el apalancamiento contable sobrestiman ese motor y deben normalizarse antes de proyectar.</w:t>
      </w:r>
    </w:p>
    <w:p>
      <w:pPr>
        <w:spacing w:after="30" w:before="40" w:line="228" w:lineRule="auto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Figura 1: </w:t>
      </w:r>
      <w:r>
        <w:rPr>
          <w:rFonts w:ascii="Arial" w:cs="Arial" w:eastAsia="Arial" w:hAnsi="Arial"/>
          <w:color w:val="14284B"/>
          <w:sz w:val="14"/>
          <w:szCs w:val="14"/>
        </w:rPr>
        <w:t xml:space="preserve">El ROE normalizado de 8–10% es el retorno real; el ROE reportado depende de la tasación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66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  <w:gridCol w:w="840"/>
      </w:tblGrid>
      <w:tr>
        <w:trPr>
          <w:tblHeader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CLP mil MM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’22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’23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’24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’25 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’26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’27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’28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’29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’30 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2"/>
                <w:szCs w:val="12"/>
              </w:rPr>
              <w:t xml:space="preserve">’31 E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Ingresos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495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654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704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821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870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916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961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EBITDA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76,7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80,5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79,8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FFO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60,0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57,7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neta, reportada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158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350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336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1.431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639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610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627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649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Utilidad distribuible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96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198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238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380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428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432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445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Margen neto,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25,8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48,2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56,5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54,0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55,7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52,9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50,2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46,2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Rotación de activos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,089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,094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Activos / patrimonio (x)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1,91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1,69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1,79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1,89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ROE, reportado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7,1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37,5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13,7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11,9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11,8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12,0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ROE,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4,3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9,7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8,3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2"/>
                <w:szCs w:val="12"/>
              </w:rPr>
              <w:t xml:space="preserve">8,2</w:t>
            </w:r>
          </w:p>
        </w:tc>
      </w:tr>
      <w:tr>
        <w:trPr>
          <w:cantSplit/>
        </w:trPr>
        <w:tc>
          <w:tcPr>
            <w:tcW w:type="dxa" w:w="22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ROA, normalizado %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2,2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4,2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5,5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5,1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4,8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4,6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4,4</w:t>
            </w:r>
          </w:p>
        </w:tc>
        <w:tc>
          <w:tcPr>
            <w:tcW w:type="dxa" w:w="84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18"/>
              <w:left w:type="dxa" w:w="60"/>
              <w:bottom w:type="dxa" w:w="18"/>
              <w:right w:type="dxa" w:w="60"/>
            </w:tcMar>
            <w:vAlign w:val="center"/>
          </w:tcPr>
          <w:p>
            <w:pPr>
              <w:spacing w:line="204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2"/>
                <w:szCs w:val="12"/>
              </w:rPr>
              <w:t xml:space="preserve">4,3</w:t>
            </w:r>
          </w:p>
        </w:tc>
      </w:tr>
    </w:tbl>
    <w:p>
      <w:pPr>
        <w:spacing w:after="0" w:before="10" w:line="216" w:lineRule="auto"/>
        <w:jc w:val="both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Normalizado = utilidad distribuible (2022A: proxy del equipo; el reajuste UF de 2022 refleja ~13% de inflación). Saldos promedio; la serie parte en 2022 (NIC 40 a valor razonable desde el 1-ene-22). 2026E–2031E: caso base de valoración; balance proyectado desde dic-25 (patrimonio + utilidad reportada − distribuciones ordinarias y adicionales; propiedades revalorizadas al 3% de inflación, impuesto diferido 27%; DFN hasta 3,5x EBITDA en 2031E). Fuente: EEFF Plaza S.A. (CMF), Nota 20e; release 2T26 (FFO); análisis del equipo.</w:t>
      </w:r>
    </w:p>
    <w:p>
      <w:pPr>
        <w:spacing w:after="6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utilidad reportada sigue al tasador; el FFO sigue al negocio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Bajo NIC 40, la revalorización de las propiedades de inversión pasa por resultados. En 2025, una ganancia por valor razonable de CLP 1.447 mil MM (27% del valor inicial de las propiedades, frente a cerca de 2% al año en Parque Arauco y Cencosud Shopping) elevó la utilidad atribuible a CLP 1.431 mil MM (2,2 veces los ingresos) y el ROE reportado a 37,5% (Figura 1). Cerca de dos tercios del alza de 29% en Chile vino de una menor tasa de descuento en la tasación, no de un mayor NOI.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las ganancias por valor razonable netas de impuesto diferido, la utilidad distribuible auditada fue CLP 369 mil MM y el ROE 9,7%, el más alto de los tres pares locales en base comparable (Anexo 6). El FFO, que reconstruimos desde los estados financieros con 0,02% de diferencia frente a los CLP 405 mil MM reportados (Figura 2), mantuvo un margen de 59–62% en 2022–2025, mientras la utilidad neta varió más de cuatro veces. El FFO excluye el reajuste UF de la deuda (CLP 44 mil MM, 11% del FFO); la utilidad distribuible lo incluye y es nuestra ancla conservadora de utilidades.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Dos tercios del crecimiento de 2025 fueron comprados; el orgánico real es cerca de 3%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subieron 76% entre 2022 y 2025, pero 21,8 pp del 32,2% de 2025 vinieron del perímetro: el portafolio peruano comprado a Falabella, consolidado desde el 4 de diciembre de 2024. Sin Perú, los ingresos crecieron 10,7% en 2025 y 7,1% en 1S26.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Sin moneda ni inflación, el crecimiento reportado de 7,4% en 1S26 baja a cerca de 3,0% real (Figura 3). Chile creció 2,8% tras un reajuste UF de 3,1% (5,1% en 2025); Perú, 4,5% pese a que la ocupación bajó a 93,8%; y Colombia solo cerca de 1% una vez descontadas una apreciación del COP de 7,5% y una inflación de 6,1%.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crecimiento es contractual, no de ventas. La renta variable es 5,1% de los ingresos y cayó 1,1% en 1S26 mientras las ventas de los locatarios subían 6,7%, porque las rentas mínimas (renta en mismas tiendas +5,5%) crecen más que las ventas (ventas en mismas tiendas +3,7%). Los ingresos se comportan como un bono, pero su crecimiento real converge al 0,4–0,9% que la propia compañía supone para Chile en su tasación.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margen subió por mix y recuperación de gastos; el apalancamiento operativo se agotó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margen EBITDA subió de 76,2% en 2022 a 80,5% en 2025 por dos razones. Perú consolida con un margen de segmento de 83%, frente a 80% en Chile y 73% en Colombia. Y el margen de Chile ganó 2,4 pp por una mayor recuperación de gastos comunes, que se presentan netos de costo (Nota 2.20): es real, pero depende de la ocupación y de la negociación con locatarios, así que no es estructural.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Con el costo de ventas en 6% de los ingresos y costos operativos totales cercanos a 20%, queda poco costo fijo que diluir; con la D&amp;A en 0,7% de los ingresos, el EBIT (CLP 523 mil MM en 2025) sigue al EBITDA. En 1S26 el EBITDA creció 7,4%, en línea con los ingresos, y el margen se mantuvo en 79,7%. Los gastos de administración subieron 18,1% por remuneraciones (+18,9%: transición del gerente general y un año completo de Perú), un gasto en incobrables que se recupera desde una base 2025 favorecida por recuperaciones (0,64% de los ingresos, bajo el 1,22% de 2024) y un impuesto al patrimonio único en Colombia de CLP 1,7 mil MM. Sin estos dos últimos, el margen de 1S26 sería 80,4%, 1,1 pp más.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Sin revalorizaciones ni partidas no monetarias, CLP 1.441 mil MM de utilidad se vuelven CLP 408 mil MM de FFO (CLP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Celeste suma, rojo resta, azul = totales. Tras minoritarios (CLP 2,8 mil MM), el FFO atribuible es CLP 405,2 mil MM vs 405,3 reportado. Fuente: EEFF Plaza S.A. (CMF) 2025, Notas 13.1 y 23;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del crecimiento 2025 fueron comprados; en 1S26 la moneda y la inflación explican más de la mitad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Segmentos separados en forma multiplicativa (real × inflación × moneda) desde el crecimiento en moneda local (Chile 6,1%, Perú 7,9%, Colombia 7,3%); consolidado ponderado por ingresos 2025. Fuente: EEFF intermedios (CMF), Nota 24; UF (SII/BCCh); Bloomberg; INEI; DANE;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pBdr>
                <w:bottom w:val="single" w:color="E9004B" w:sz="8" w:space="1"/>
              </w:pBdr>
              <w:spacing w:after="5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La caja cubre el dividendo 2,6x; el techo es la política, no la liquidez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flujo operativo subió de CLP 301 mil MM en 2024 a CLP 441 mil MM en 2025, convirtiendo 98,7% del EBITDA antes de impuestos. El impuesto pagado fue solo 15% del resultado operacional, protegido por goodwill tributario de reorganizaciones en Chile y pérdidas tributarias (Nota 13), y subirá hacia la tasa legal de 27%. Después de capex e intereses netos, el flujo de caja libre antes del servicio de la deuda fue CLP 280 mil MM y cubrió los dividendos 2,6x (Figura 4).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salto de 38,6% del flujo operativo en 1S26 no es capacidad de generación: el 59% corresponde a cobranzas de diciembre que se revierten vía capital de trabajo. Los días de cobro bajaron de 66 a 50, sin señales de peor recaudación.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capex está subiendo. Los compromisos contractuales de inversión aumentaron a CLP 78 mil MM en junio de 2026 desde CLP 18 mil MM en diciembre de 2025, y el capex en propiedades de 1S26 fue CLP 81 mil MM (+176%). El caso base financia los USD 445 MM restantes del pipeline en 2026–2028 y luego sigue agregando cerca de 27.000 m² de GLA al año, el ritmo orgánico de 2022–2025, por lo que el capex se estabiliza cerca de 16% de los ingresos y no en el piso de mantención de 5,5% (Figura 7).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Los indicadores de flujo justifican el AAA; los ratios contables lo exageran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El LTV bajó de 26,9% a 18,8% en 2025, pero 5,0 pp de la caída de 8,0 pp vinieron de revalorizar el denominador; con las propiedades al valor de 2024 más las adiciones, el LTV habría sido 23,8% (Figura 5). Los indicadores de flujo son el lente honesto y respaldan el alza de Feller Rate a AAA (25 de septiembre de 2026): la DFN/EBITDA bajó de 3,78x a 2,36x con el EBITDA UDM de junio de 2026 (la cifra de 2024 incluye solo un mes de Perú), y el EBITDA cubre 8,4x los costos financieros.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La deuda bruta de CLP 1.633 mil MM está 79% en UF, 14% en PEN y 7% en COP, en línea con las monedas de los ingresos; el 95% es de largo plazo, con una duración de 6,6 años. Los bonos en UF pagan un cupón real de 3,36% (3,48% efectivo), pero con el reajuste UF el costo nominal total fue cercano a 7% en 2025. Los vencimientos se concentran en 2029, 2031 y 2033 (Figura 6); refinanciar la serie S (1,32% efectivo) a la tasa de la última emisión (4,33%) sumaría cerca de CLP 4,9 mil MM al año. La liquidez es holgada: a junio de 2026 la razón corriente era 2,50x y la caja cubría 1,71x los pasivos corrientes.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Nuestro caso base usa esa holgura. La DFN/EBITDA converge linealmente de 2,36x a 3,5x a fines de 2031E, entre Cencosud Shopping (2,1x) y Parque Arauco (5,7x), y cada vuelta adicional suma 25 pb al costo real de la deuda. La caja por sobre el payout de 40% y el plan de capex se devuelve con recompras o dividendos extraordinarios: CLP 1,8 billones acumulados en 2S26E–2031E (Anexo 5). Con 3,5x, el nuevo AAA probablemente quedaría bajo presión.</w:t>
            </w:r>
          </w:p>
          <w:p>
            <w:pPr>
              <w:keepNext/>
              <w:pBdr>
                <w:bottom w:val="single" w:color="E9004B" w:sz="8" w:space="1"/>
              </w:pBdr>
              <w:spacing w:after="5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El forecast proyecta lo que respalda la historia, incluido el ritmo de expansión</w:t>
            </w:r>
          </w:p>
          <w:p>
            <w:pPr>
              <w:spacing w:after="60" w:before="0" w:line="228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6"/>
                <w:szCs w:val="16"/>
              </w:rPr>
              <w:t xml:space="preserve">Los ingresos crecen 7,7% en 2026E y 5,0% en 2031E (CAGR 2026E–2031E de 6,4%), a medida que el crecimiento real en mismas tiendas converge a los puntos medios de la tasación, maduran los 123.700 m² del pipeline con fecha y, desde 2029E, abren cerca de 27.000 m² al año al ritmo histórico; los ingresos 2026E y 2027E quedan a menos de 0,6% del consenso. El margen EBITDA se mantiene en 79,7–79,8%, bajo el máximo de 2025. El impuesto en caja se normaliza de 16,8% a 27% hacia 2030E y los costos financieros suben con el apalancamiento, por lo que el margen FFO baja de 60,9% a 52,2%. El capital de trabajo se mantiene en 15,6% de los ingresos, el nivel de diciembre de 2025 (Anexo 1). El GLA nuevo rinde 6,9% sobre el costo, un retorno real de 5,0% después de impuestos frente a una WACC real de 7,2%: la expansión suma ingresos, pero no valor.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flujo de caja libre cubre los dividendos 1,5–2,6x aun con más capex (2025, CLP mil MM)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Estado de flujos (método directo; intereses pagados en financiamiento). FCF antes de amortizaciones. Capex = propiedades de inversión + intangibles + PP&amp;E (15,8% de los ingresos en 2025; 24,8% en 1S26). Fuente: EEFF Plaza S.A. (CMF);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Dos tercios de la caída del LTV en 2025 son revalorización, no desapalancamiento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4668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466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LTV = DFN / propiedades de inversión. Deuda y adiciones = LTV con propiedades al valor 2024 más adiciones 2025 (23,8%). Ratios jun-26 sobre EBITDA UDM. Fuente: EEFF (CMF), Notas 11 y 26; Análisis Razonado 2025 y 1S26;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riesgo de refinanciamiento está en 2029, 2031 y 2033, no en el corto plazo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1552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552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Bonos en UF, valor libro dic-25 (total CLP 1.277,7 mil MM); etiqueta = tasa real efectiva (años con dos series: promedio ponderado). Excluye CLP 301,6 mil MM de deuda bancaria en PEN/COP. Fuente: EEFF dic-25, Nota 14; análisis del equipo.</w:t>
            </w:r>
          </w:p>
          <w:p>
            <w:pPr>
              <w:spacing w:after="30" w:before="9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Tras el pipeline, la expansión mantiene el capex cerca de CLP 150 mil MM al año mientras el apalancamiento sube a 3,5x</w:t>
            </w:r>
          </w:p>
          <w:p>
            <w:pPr>
              <w:spacing w:after="20" w:before="0" w:line="240" w:lineRule="auto"/>
            </w:pPr>
            <w:r>
              <w:drawing>
                <wp:inline distT="0" distB="0" distL="0" distR="0">
                  <wp:extent cx="2257425" cy="20097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009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incluye CLP 84,2 mil MM gastados en 1S26; el apalancamiento 2024A incluye un mes de EBITDA de Perú. Fuente: EEFF (CMF); release 2T26 (pipeline); caso base de valoración (Anexos 1 y 5).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ANEXOS: ANÁLISIS FINANCIERO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Supuestos del forecast (CLP nominales, 2026E–2031E)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150"/>
              <w:gridCol w:w="2250"/>
              <w:gridCol w:w="1375"/>
              <w:gridCol w:w="450"/>
            </w:tblGrid>
            <w:tr>
              <w:trPr>
                <w:tblHeader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Variable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Supuesto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Base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1"/>
                      <w:szCs w:val="11"/>
                    </w:rPr>
                    <w:t xml:space="preserve">Tag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Ancla 2026E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real + 2S26E que repite el crecimiento en moneda local de 1S26 (Chile 6,1%, Perú 7,9%, Colombia 7,3%)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intermedios jun-26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Inflación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IPC de consenso 2026–28; metas de los bancos centrales desde 2029 (CL 3%, PE 2%, CO 3%)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Arriendos indexados a UF/IPC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Crecimiento real mismas tiendas (sin parking)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1,5% → 0,6%; Perú 1,5% → 0,4%; Colombia 2,5% → 2,1% (2027E → 2031E)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Puntos medios de la tasación (Nota 11)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Ocupación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96,1% y Colombia 97,5% constantes; Perú 93,8% → 94,6% en 2028E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2T26 real; Perú vuelve a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Parking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12,1% / 6,4% / 9,0% de los ingresos 2026; crecimiento real 9% → 2%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 (UDM +23,7%)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del pipeline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8.900 m² (2026), 72.950 m² (2027), 41.850 m² (2028); rampa 35/90/100%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proyectos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Expansión post-2028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27.075 m² al año desde 2029E (55% Chile / 45% Perú); USD 3.603/m² indexado a IPC, 50% en t−2 y 50% en t−1; margen EBITDA 80,9%; yield on cost 6,9%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GLA orgánico promedio 2022, 2023, 2025; costo por m² del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Tipo de cambio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Consenso de fin de año 2026–28; paridad de poder de compra después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Bloomberg ECFC, 5-oct-26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Margen EBITDA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Chile 80%, Perú 82%, Colombia 74% (≈ 79,7% consolidado)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2024–UDM 2T26; no se extrapola el máximo 2025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D&amp;A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0,70%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UDM 2T26 (4,8 / 677,3)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en caja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16,8% (2026E) → 19% → 21,5% → 24% → 27% (2030E–31E)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Impuesto corriente 1S26; escudos se agotan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Capex de proyectos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USD 445 MM restantes a jun-26, repartidos hasta la apertura (2026E–28E)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Release 2T26, pipeline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Mantención + TI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5,5% de los ingresos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2024 (4,8%) – UDM 2T26 (~6,6%)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Capital de trabajo neto operativo en 15,6% de los ingresos (dic-25); 2026E cubre solo 2S26E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EEFF dic-25, primer cierre con Perú completo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Apalancamiento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DFN/EBITDA 2,36x (jun-26) → 3,5x a dic-31E, lineal; la caja sobre el plan se devuelve con recompras o dividendos extraordinarios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Supuesto del equipo; pares 2,1x–5,7x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de la deuda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Costo financiero neto 3,08% de la DFN inicial + 25 pb reales por vuelta sobre 2,36x; reajuste UF sobre 79% de la deuda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1S26 anualizado; supuesto del equipo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C/S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Excluido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Greenfield (USD 0,7 MM UDM vs 55,2 MM en 2023), Gran Plaza; proyectos sin fecha en Chile reemplazados por la expansión post-2028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Sin fecha o inmaterial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1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Payout</w:t>
                  </w:r>
                </w:p>
              </w:tc>
              <w:tc>
                <w:tcPr>
                  <w:tcW w:type="dxa" w:w="22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40% de la utilidad distribuible con un año de rezago, más las distribuciones adicionales</w:t>
                  </w:r>
                </w:p>
              </w:tc>
              <w:tc>
                <w:tcPr>
                  <w:tcW w:type="dxa" w:w="13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Política del directorio (Nota 20e)</w:t>
                  </w:r>
                </w:p>
              </w:tc>
              <w:tc>
                <w:tcPr>
                  <w:tcW w:type="dxa" w:w="45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1"/>
                      <w:szCs w:val="11"/>
                    </w:rPr>
                    <w:t xml:space="preserve">R/S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Tags: R reportado · C cálculo del equipo · S supuesto del equipo · P consenso de mercado. Fuente: EEFF Plaza S.A. (CMF); release 2T26; Bloomberg ECFC;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Estados financieros resumidos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Estado de resultados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370,9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494,6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653,9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677,3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(definición 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(2,1)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y otras partidas op.,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83,1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193,7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157,3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1.445,4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1.190,4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363,6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513,8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1.968,1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1.730,6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 financiero neto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(54,0)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(44,9)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Reajuste UF de la deuda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(55,3)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(53,2)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(43,8)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(50,4)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Utilidad atribuible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157,7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349,8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335,9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1.431,0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1.258,1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FFO atribuible (compañía)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218,9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257,2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303,2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405,3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419,9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Balance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dic-25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y equivalentes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202,0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179,2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268,3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347,6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Propiedades de inversión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4.166,5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5.356,5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6.961,9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7.309,8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totales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4.796,3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5.915,1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7.583,6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7.985,7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Deuda financiera bruta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1.264,0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1.617,6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1.579,3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1.633,4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por impuesto diferido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656,5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1.248,8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1.313,7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Patrimonio atribuible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2.601,1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3.157,9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4.482,9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4.820,9</w:t>
                  </w:r>
                </w:p>
              </w:tc>
            </w:tr>
          </w:tbl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Flujo de caja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1S26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Flujo operativo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295,1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300,8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441,1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258,2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(119,1)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(76,3)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(103,6)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Adquisiciones (incl. minoritarios)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(164,6)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(400,4)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(0,3)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Emisión de acciones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308,4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Endeudamiento neto / (pago)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(124,0)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(86,5)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Intereses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(55,6)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(54,4)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(68,2)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(30,1)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pagados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(0,0)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(125,8)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(108,5)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(87,6)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UDM = 2025 − 1S25 + 1S26. 2024 reexpresado en los EEFF dic-25; 2022A de los EEFF dic-23 reexpresados; las líneas de financiamiento 2022 no están en los archivos usados. Fuente: EEFF Plaza S.A. (CMF) dic-24, dic-25, jun-26.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Tablero de ratios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775"/>
              <w:gridCol w:w="775"/>
              <w:gridCol w:w="775"/>
              <w:gridCol w:w="775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jun-26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ROA, normalizado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4,2%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ROIC (NOPAT al 27%, capital a valor razonable)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6,6%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Razón corriente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1,18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1,54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2,50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Caja / pasivos corrientes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0,83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0,52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1,71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Pasivos totales / patrimonio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0,85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0,64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 (DFN / propiedades de inversión)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25,5%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26,9%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17,6%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3,30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3,78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costos financieros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6,9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6,8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Rotación de activos (x)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0,090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0,092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0,097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Costos operativos / ingresos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23,8%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23,5%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20,1%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21,2%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Días de cobro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n,m,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66</w:t>
                  </w:r>
                </w:p>
              </w:tc>
              <w:tc>
                <w:tcPr>
                  <w:tcW w:type="dxa" w:w="7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Apalancamiento jun-26 sobre EBITDA UDM; costos operativos = costo de ventas + administración (1S26). Días de cobro dic-24 n.s. (Perú consolida un mes). Los retornos a jun-26 requieren el balance de jun-25. Fuente: EEFF (CMF); Análisis Razonado 1S26;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4: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EBITDA que usamos es el de la compañía: la revalorización se elimina una sola vez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620"/>
              <w:gridCol w:w="620"/>
              <w:gridCol w:w="620"/>
              <w:gridCol w:w="620"/>
              <w:gridCol w:w="620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2022A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2023A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2024A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2025A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UDM 2T26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Resultado operacional + D&amp;A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365,8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515,9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538,0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1.971,7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1.735,4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(−) Otros ingresos op. (principalmente valor razonable)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(85,4)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(195,6)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(162,5)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(1.448,9)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(1.194,5)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(+) Otros gastos op. (no recurrentes)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1,8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 ajustado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282,7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322,2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380,6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526,2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544,9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Control vs EBITDA de la compañía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0,0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El campo EBITDA de Bloomberg incluye la revalorización y no se usa. Fuente: EEFF (CMF), Notas 23.1–23.3; release 2T26;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5: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Proyección del caso base (CLP mil MM)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795"/>
              <w:gridCol w:w="571"/>
              <w:gridCol w:w="571"/>
              <w:gridCol w:w="571"/>
              <w:gridCol w:w="571"/>
              <w:gridCol w:w="571"/>
              <w:gridCol w:w="575"/>
            </w:tblGrid>
            <w:tr>
              <w:trPr>
                <w:tblHeader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CLP mil MM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2026E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2027E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2028E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2029E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2030E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2031E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Chile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498,4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533,9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571,2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628,7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652,8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Perú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131,3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145,2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159,8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171,6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178,6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184,9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Colombia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75,2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88,1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89,4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92,2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96,8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Eliminaciones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Ingresos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11,7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21,8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Ingresos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704,0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767,2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820,5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870,1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915,9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961,3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Crecimiento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5,3%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561,3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611,4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654,2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694,0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730,6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E4E8F0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766,9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Margen EBITDA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79,7%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79,8%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D&amp;A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(5,4)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(6,4)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(6,8)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556,4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606,0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648,5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687,9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724,1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760,1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Tasa de impuesto en caja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16,8%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19,0%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21,5%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24,0%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pipeline + mantención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(209,2)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(240,7)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(151,5)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(49,7)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(51,7)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Capex — expansión post-2028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—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(46,3)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(95,3)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(98,2)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(101,1)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(104,2)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Δ capital de trabajo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(9,9)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(8,3)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(7,1)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FFO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428,5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460,4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473,1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481,5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482,3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501,6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Utilidad distribuible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380,0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427,7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434,4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436,9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431,6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444,6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Dividendos ordinarios (40%)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(147,7)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(152,0)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(171,1)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(173,8)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(174,8)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(172,6)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Distribuciones adicionales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(121,0)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(236,1)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(268,0)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(380,1)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(378,6)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(404,8)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9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2,46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2,67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2,88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3,09</w:t>
                  </w:r>
                </w:p>
              </w:tc>
              <w:tc>
                <w:tcPr>
                  <w:tcW w:type="dxa" w:w="571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3,29</w:t>
                  </w:r>
                </w:p>
              </w:tc>
              <w:tc>
                <w:tcPr>
                  <w:tcW w:type="dxa" w:w="57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3,50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2026E = 1S26 real + 2S26E; el capex incluye CLP 84,2 mil MM gastados en 1S26; Δ capital de trabajo y distribuciones adicionales cubren solo 2S26E. FFO = (EBITDA − costo financiero neto) × (1 − impuesto en caja), antes de minoritarios (~1%); utilidad distribuible = FFO − reajuste UF. Fuente: modelo de valoración v2 (hojas DCF, Deuda y Expansion); análisis del equipo.</w:t>
            </w:r>
          </w:p>
          <w:p>
            <w:pPr>
              <w:spacing w:after="30" w:before="10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Anexo 6: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En base comparable, Mallplaza tiene el ROE normalizado más alto de sus pares locales (2025)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2125"/>
              <w:gridCol w:w="1033"/>
              <w:gridCol w:w="1033"/>
              <w:gridCol w:w="1034"/>
            </w:tblGrid>
            <w:tr>
              <w:trPr>
                <w:tblHeader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/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Mallplaza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Parque Arauco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2"/>
                      <w:szCs w:val="12"/>
                    </w:rPr>
                    <w:t xml:space="preserve">Cencosud Shopping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Revalorización / propiedades iniciales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27,0%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2,0%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EBITDA / propiedades de inversión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7,3% (Chile)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7,6%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ROE, reportado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37,5%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9,8%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10,5%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ROE, normalizado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9,7%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7,8%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2"/>
                      <w:szCs w:val="12"/>
                    </w:rPr>
                    <w:t xml:space="preserve">8,0%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LTV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18,8%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42,9%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16,3%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DFN / EBITDA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2,49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5,68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2,11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1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Activos / patrimonio atribuible, cierre (x)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1,69</w:t>
                  </w:r>
                </w:p>
              </w:tc>
              <w:tc>
                <w:tcPr>
                  <w:tcW w:type="dxa" w:w="1033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2,69</w:t>
                  </w:r>
                </w:p>
              </w:tc>
              <w:tc>
                <w:tcPr>
                  <w:tcW w:type="dxa" w:w="1034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18"/>
                    <w:left w:type="dxa" w:w="60"/>
                    <w:bottom w:type="dxa" w:w="18"/>
                    <w:right w:type="dxa" w:w="60"/>
                  </w:tcMar>
                  <w:vAlign w:val="center"/>
                </w:tcPr>
                <w:p>
                  <w:pPr>
                    <w:spacing w:line="204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2"/>
                      <w:szCs w:val="12"/>
                    </w:rPr>
                    <w:t xml:space="preserve">1,51</w:t>
                  </w:r>
                </w:p>
              </w:tc>
            </w:tr>
          </w:tbl>
          <w:p>
            <w:pPr>
              <w:spacing w:after="0" w:before="1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Mallplaza normalizado con la utilidad distribuible auditada; pares con utilidad neta − revalorización × (1 − 27%). Las propiedades de Parque Arauco excluyen JV, lo que sobrestima su LTV. Fuente: EEFF (CMF); Bloomberg FA (PARAUCO CI, CENCOMAL CI; 28-sep-26); análisis del equipo.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>
      <w:pPr>
        <w:spacing w:after="0" w:before="0"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dd365b4a797eeeb0b6eae4d6549b19ff7636dcf2.png"/><Relationship Id="rId12" Type="http://schemas.openxmlformats.org/officeDocument/2006/relationships/image" Target="media/7d8204fda84a881810f270fea79de3fb869b95ea.png"/><Relationship Id="rId13" Type="http://schemas.openxmlformats.org/officeDocument/2006/relationships/image" Target="media/10550dc420b0e28a4aed4ed7058ab6044873ca66.png"/><Relationship Id="rId14" Type="http://schemas.openxmlformats.org/officeDocument/2006/relationships/image" Target="media/15068f547968c733e8d221bb65144d6e5cc210bc.png"/><Relationship Id="rId15" Type="http://schemas.openxmlformats.org/officeDocument/2006/relationships/image" Target="media/61da35e4e63d67569f8046a3c2dc727c5adf514c.png"/><Relationship Id="rId16" Type="http://schemas.openxmlformats.org/officeDocument/2006/relationships/image" Target="media/f0b850e66155f5930966189145a6c20ab239783c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2026-10-14T02:50:09.348Z</dcterms:created>
  <dcterms:modified xsi:type="dcterms:W3CDTF">2026-10-14T02:50:09.350Z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