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APPENDICES: 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Forecast assumptions (nominal CLP,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Driver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Assumption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Basis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2026E anchor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actual + 2H26E repeating 1H26 local-currency growth (Chile 6.1%, Peru 7.9%, Colombia 7.3%)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Interim FS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Inflation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CPI 2026–28; central-bank targets from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Leases indexed to UF/CPI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Real same-store growth (ex-parking)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1.5% → 0.6%; Peru 1.5% → 0.4%; Colombia 2.5% → 2.1%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Midpoints of company appraisal ranges (Note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Occupancy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96.1%, Colombia 97.5% flat; Peru 93.8% → 94.6% by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actual; Peru back to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12.1% / 6.4% / 9.0% of 2026 revenue; real growth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 (LTM +23.7%)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Pipeline GLA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8,900 m² (2026), 72,950 m² (2027), 41,850 m² (2028); ramp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projects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Post-2028 expansion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27,075 m² a year opening from 2029E (55% Chile / 45% Peru); USD 3,603/m² indexed to CPI, spent 50% in t−2 and 50% in t−1; 80.9% EBITDA margin; 6.9% yield on cost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Average organic GLA 2022, 2023, 2025; pipeline cost per m²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year-end 2026–28; purchasing-power parity thereafter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 Oct 2026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EBITDA margin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Peru 82%, Colombia 74% (≈ 79.7% consolidated)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2024–LTM 2Q26; 2025 peak not extrapolated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0.70%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LTM 2Q26 (4.8 / 677.3)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Cash tax rate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16.8% (2026E) → 19% → 21.5%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current tax; shields run off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Project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445m remaining at Jun-26, spread to final opening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Maintenance + IT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5.5%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(4.8%) – LTM 2Q26 (~6.6%)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Working capital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operating working capital at 15.6% of revenue (Dec-25); 2026E covers 2H26E only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FS Dec-25, first year-end with full Peru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Leverage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debt / EBITDA 2.36x (Jun-26) → 3.5x by Dec-31E, linear; cash above the plan returned via buybacks or special dividends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Team assumption; peers 2.1x–5.7x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 of debt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financial cost 3.08% of opening net debt + 25bp real per turn of leverage above 2.36x; UF indexation on 79% of debt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annualized; team assumption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0.7m LTM vs 55.2m in 2023), Gran Plaza; undated Chile projects replaced by the post-2028 expansion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No date or immaterial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of distributable profit, one-year lag, plus the additional distributions above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Board policy (Note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reported · C team calculation · S team assumption · P market consensus. Source: Plaza S.A. financial statements (CMF); 2Q26 results release; Bloomberg ECFC;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Summary financial statements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Income statement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(company definition)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gains &amp; other op. items, net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1,445.4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1,190.4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1,968.1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financial cost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UF indexation of debt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Net income attributable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1,431.0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1,258.1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attributable (company)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 sheet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and equivalents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179.2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Investment property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4,166.5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6,961.9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7,309.8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assets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4,796.3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5,915.1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7,583.6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7,985.7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Gross financial debt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1,264.0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1,617.6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1,579.3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1,633.4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Deferred tax liabilities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1,248.8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1,313.7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Equity attributable to owners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2,601.1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3,157.9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4,482.9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4,820.9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(119.1)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Acquisitions incl. minorities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Equity issued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308.4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borrowing / (repayment)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(68.2)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(125.8)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(87.6)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LTM = FY2025 − 1H25 + 1H26. 2024 as restated in Dec-25; 2022A from restated Dec-23 statements; 2022 financing lines not in the files used. Source: Plaza S.A. financial statements (CMF) Dec-24, Dec-25,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Ratio dashboard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at 27%, IC at fair value)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Current ratio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/ current liabilities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liabilities / equity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inv. property)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26.9%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financial costs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 turnover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costs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Receivable days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n.m.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Jun-26 leverage on LTM EBITDA; operating costs = cost of sales + admin (1H26). Dec-24 receivable days n.m. (Peru consolidated one month). Jun-26 returns need the Jun-25 balance sheet. Source: Plaza S.A. financial statements (CMF); MD&amp;A 1H26;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EBITDA we use is the company's: fair-value gains are removed once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1,971.7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1,735.4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Other op. income (mostly fair value)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(1,448.9)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(1,194.5)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Other op. expenses (non-recurring)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EBITDA, adjusted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Check vs company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Bloomberg's EBITDA field includes fair-value gains and is not used. Source: Plaza S.A. financial statements (CMF), Notes 23.1–23.3; 2Q26 release;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Base-case projection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bn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Peru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159.8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171.6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96.8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915.9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Growth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margin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724.1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tax rate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maintenance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(151.5)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(49.7)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(51.7)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working capital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482.3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Distributable profit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427.7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Ordinary dividends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(174.8)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(172.6)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Additional distributions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(378.6)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1H26 actual + 2H26E; capex includes CLP 84.2bn spent in 1H26; Δ working capital and additional distributions cover 2H26E only. FFO = (EBITDA − net financial cost) × (1 − cash tax), before minorities (~1%); distributable profit = FFO − UF indexation. Source: valuation workbook v2 (DCF, Deuda and Expansion sheets);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Like-for-like, Mallplaza earns the highest normalized ROE of its local peers (FY2025)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 / opening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investment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37.5%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42.9%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Assets / equity attributable, YE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normalized on audited distributable profit; peers on net income − fair-value gains × (1 − 27%). Parque Arauco property excludes JVs, overstating its LTV. Source: Plaza S.A. financial statements (CMF); Bloomberg FA as-reported (PARAUCO CI, CENCOMAL CI; export 28 Sep 2026); Team analysis.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2026-10-14T18:43:31.272Z</dcterms:created>
  <dcterms:modified xsi:type="dcterms:W3CDTF">2026-10-14T18:43:31.272Z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