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ANÁLISIS FINANCIERO</w:t>
      </w:r>
    </w:p>
    <w:p>
      <w:pPr>
        <w:shd w:fill="EEF1F6" w:color="auto" w:val="clear"/>
        <w:spacing w:after="60" w:line="228" w:lineRule="auto"/>
        <w:jc w:val="both"/>
      </w:pPr>
      <w:r>
        <w:rPr>
          <w:rFonts w:ascii="Arial" w:cs="Arial" w:eastAsia="Arial" w:hAnsi="Arial"/>
          <w:b/>
          <w:bCs/>
          <w:color w:val="14284B"/>
          <w:sz w:val="16"/>
          <w:szCs w:val="16"/>
        </w:rPr>
        <w:t xml:space="preserve">El motor de arriendos de Mallplaza crece cerca de 3% real, con un margen EBITDA de 80% y un apalancamiento sobre flujos bajo 2,5x; la utilidad reportada, el crecimiento y el apalancamiento contable sobrestiman ese motor y deben normalizarse antes de proyectar.</w:t>
      </w:r>
    </w:p>
    <w:p>
      <w:pPr>
        <w:spacing w:after="30" w:before="40" w:line="228" w:lineRule="auto"/>
      </w:pPr>
      <w:r>
        <w:rPr>
          <w:rFonts w:ascii="Arial" w:cs="Arial" w:eastAsia="Arial" w:hAnsi="Arial"/>
          <w:b/>
          <w:bCs/>
          <w:color w:val="14284B"/>
          <w:sz w:val="14"/>
          <w:szCs w:val="14"/>
        </w:rPr>
        <w:t xml:space="preserve">Figura 1: </w:t>
      </w:r>
      <w:r>
        <w:rPr>
          <w:rFonts w:ascii="Arial" w:cs="Arial" w:eastAsia="Arial" w:hAnsi="Arial"/>
          <w:color w:val="14284B"/>
          <w:sz w:val="14"/>
          <w:szCs w:val="14"/>
        </w:rPr>
        <w:t xml:space="preserve">El ROE normalizado de 8–10% es el retorno real; el ROE reportado depende de la tasación</w:t>
      </w: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66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tblHeader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CLP mil MM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’22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’23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’24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’25 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’26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’27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’28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’29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’30 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284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2"/>
                <w:szCs w:val="12"/>
              </w:rPr>
              <w:t xml:space="preserve">’31 E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Ingresos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371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420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495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654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704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821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870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916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961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Margen EBITDA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76,7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77,0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80,5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79,8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Margen FFO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59,0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60,9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60,0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57,7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55,3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52,2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Utilidad neta, reportada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158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350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336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1.431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639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610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627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649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Utilidad distribuible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96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198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238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369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380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428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432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445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Margen neto, normalizado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25,8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47,0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48,2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56,5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54,0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55,7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52,9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50,2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47,1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46,2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Rotación de activos (x)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,086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,089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,094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Activos / patrimonio (x)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1,94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1,91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1,86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1,69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1,79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1,84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FFFFF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1,89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ROE, reportado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7,1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14,4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37,5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13,7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12,0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11,9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11,8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12,0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ROE, normalizado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4,3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9,7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8,3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DF1CC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12"/>
                <w:szCs w:val="12"/>
              </w:rPr>
              <w:t xml:space="preserve">8,2</w:t>
            </w:r>
          </w:p>
        </w:tc>
      </w:tr>
      <w:tr>
        <w:trPr>
          <w:cantSplit/>
        </w:trPr>
        <w:tc>
          <w:tcPr>
            <w:tcW w:type="dxa" w:w="2266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ROA, normalizado %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2,2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4,2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5,5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5,1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4,8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4,6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4,4</w:t>
            </w:r>
          </w:p>
        </w:tc>
        <w:tc>
          <w:tcPr>
            <w:tcW w:type="dxa" w:w="840"/>
            <w:tcBorders>
              <w:top w:val="none" w:color="FFFFFF" w:sz="0"/>
              <w:left w:val="none" w:color="FFFFFF" w:sz="0"/>
              <w:bottom w:val="single" w:color="D5D9E0" w:sz="4"/>
              <w:right w:val="none" w:color="FFFFFF" w:sz="0"/>
            </w:tcBorders>
            <w:shd w:fill="F7F8FB" w:color="auto" w:val="clear"/>
            <w:tcMar>
              <w:top w:type="dxa" w:w="18"/>
              <w:left w:type="dxa" w:w="60"/>
              <w:bottom w:type="dxa" w:w="18"/>
              <w:right w:type="dxa" w:w="60"/>
            </w:tcMar>
            <w:vAlign w:val="center"/>
          </w:tcPr>
          <w:p>
            <w:pPr>
              <w:spacing w:line="204" w:lineRule="auto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2"/>
                <w:szCs w:val="12"/>
              </w:rPr>
              <w:t xml:space="preserve">4,3</w:t>
            </w:r>
          </w:p>
        </w:tc>
      </w:tr>
    </w:tbl>
    <w:p>
      <w:pPr>
        <w:spacing w:after="0" w:before="10" w:line="216" w:lineRule="auto"/>
        <w:jc w:val="both"/>
      </w:pPr>
      <w:r>
        <w:rPr>
          <w:rFonts w:ascii="Arial" w:cs="Arial" w:eastAsia="Arial" w:hAnsi="Arial"/>
          <w:color w:val="5F5F5F"/>
          <w:sz w:val="11"/>
          <w:szCs w:val="11"/>
        </w:rPr>
        <w:t xml:space="preserve">Normalizado = utilidad distribuible (2022A: proxy del equipo; el reajuste UF de 2022 refleja ~13% de inflación). Saldos promedio; la serie parte en 2022 (NIC 40 a valor razonable desde el 1-ene-22). 2026E–2031E: caso base de valoración; balance proyectado desde dic-25 (patrimonio + utilidad reportada − distribuciones ordinarias y adicionales; propiedades revalorizadas al 3% de inflación, impuesto diferido 27%; DFN hasta 3,5x EBITDA en 2031E). Fuente: EEFF Plaza S.A. (CMF), Nota 20e; release 2T26 (FFO); análisis del equipo.</w:t>
      </w:r>
    </w:p>
    <w:p>
      <w:pPr>
        <w:spacing w:after="6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La utilidad reportada sigue al tasador; el FFO sigue al negocio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Bajo NIC 40, la revalorización de las propiedades de inversión pasa por resultados. En 2025, una ganancia por valor razonable de CLP 1.447 mil MM (27% del valor inicial de las propiedades, frente a cerca de 2% al año en Parque Arauco y Cencosud Shopping) elevó la utilidad atribuible a CLP 1.431 mil MM (2,2 veces los ingresos) y el ROE reportado a 37,5% (Figura 1). Cerca de dos tercios del alza de 29% en Chile vino de una menor tasa de descuento en la tasación, no de un mayor NOI.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Sin las ganancias por valor razonable netas de impuesto diferido, la utilidad distribuible auditada fue CLP 369 mil MM y el ROE 9,7%, el más alto de los tres pares locales en base comparable (Anexo 6). El FFO, que reconstruimos desde los estados financieros con 0,02% de diferencia frente a los CLP 405 mil MM reportados (Figura 2), mantuvo un margen de 59–62% en 2022–2025, mientras la utilidad neta varió más de cuatro veces. El FFO excluye el reajuste UF de la deuda (CLP 44 mil MM, 11% del FFO); la utilidad distribuible lo incluye y es nuestra ancla conservadora de utilidades.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Descompuesto, el ROE normalizado de 2025 (9,7%) es un margen neto normalizado de 56,5% por una rotación de activos de apenas 0,097x y un apalancamiento contable de 1,77x. La rotación es baja porque el balance está a valor razonable: cada revalorización infla los activos y el patrimonio sin traer más caja. Por eso proyectamos un ROE normalizado estable en torno a 8%, que solo sube con el apalancamiento y no con la operación.</w:t>
            </w:r>
          </w:p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Dos tercios del crecimiento de 2025 fueron comprados; el orgánico real es cerca de 3%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Los ingresos subieron 76% entre 2022 y 2025, pero 21,8 pp del 32,2% de 2025 vinieron del perímetro: el portafolio peruano comprado a Falabella, consolidado desde el 4 de diciembre de 2024. Sin Perú, los ingresos crecieron 10,7% en 2025 y 7,1% en 1S26.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Sin moneda ni inflación, el crecimiento reportado de 7,4% en 1S26 baja a cerca de 3,0% real (Figura 3). Chile creció 2,8% tras un reajuste UF de 3,1% (5,1% en 2025); Perú, 4,5% pese a que la ocupación bajó a 93,8%; y Colombia solo cerca de 1% una vez descontadas una apreciación del COP de 7,5% y una inflación de 6,1%.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crecimiento es contractual, no de ventas. La renta variable es 5,1% de los ingresos y cayó 1,1% en 1S26 mientras las ventas de los locatarios subían 6,7%, porque las rentas mínimas (renta en mismas tiendas +5,5%) crecen más que las ventas (ventas en mismas tiendas +3,7%). Los ingresos se comportan como un bono, pero su crecimiento real converge al 0,4–0,9% que la propia compañía supone para Chile en su tasación.</w:t>
            </w:r>
          </w:p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El margen subió por mix y recuperación de gastos; el apalancamiento operativo se agotó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margen EBITDA subió de 76,2% en 2022 a 80,5% en 2025 por dos razones. Perú consolida con un margen de segmento de 83%, frente a 80% en Chile y 73% en Colombia. Y el margen de Chile ganó 2,4 pp por una mayor recuperación de gastos comunes, que se presentan netos de costo (Nota 2.20): es real, pero depende de la ocupación y de la negociación con locatarios, así que no es estructural.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Con el costo de ventas en 6% de los ingresos y costos operativos totales cercanos a 20%, queda poco costo fijo que diluir; con la D&amp;A en 0,7% de los ingresos, el EBIT (CLP 523 mil MM en 2025) sigue al EBITDA. En 1S26 el EBITDA creció 7,4%, en línea con los ingresos, y el margen se mantuvo en 79,7%. Los gastos de administración subieron 18,1% por remuneraciones (+18,9%: transición del gerente general y un año completo de Perú), un gasto en incobrables que se recupera desde una base 2025 favorecida por recuperaciones (0,64% de los ingresos, bajo el 1,22% de 2024) y un impuesto al patrimonio único en Colombia de CLP 1,7 mil MM. Sin estos dos últimos, el margen de 1S26 sería 80,4%, 0,7 pp más.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Sin revalorizaciones ni partidas no monetarias, CLP 1.441 mil MM de utilidad se vuelven CLP 408 mil MM de FFO (CLP mil MM)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695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Celeste suma, rojo resta, azul = totales. Tras minoritarios (CLP 2,8 mil MM), el FFO atribuible es CLP 405,2 mil MM vs 405,3 reportado. Fuente: EEFF Plaza S.A. (CMF) 2025, Notas 13.1 y 23; análisis del equipo.</w:t>
            </w:r>
          </w:p>
          <w:p>
            <w:pPr>
              <w:spacing w:after="3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Dos tercios del crecimiento 2025 fueron comprados; en 1S26 la moneda y la inflación explican más de la mitad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781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Segmentos separados en forma multiplicativa (real × inflación × moneda) desde el crecimiento en moneda local (Chile 6,1%, Perú 7,9%, Colombia 7,3%); consolidado ponderado por ingresos 2025. Fuente: EEFF intermedios (CMF), Nota 24; UF (SII/BCCh); Bloomberg; INEI; DANE; análisis del equipo.</w:t>
            </w:r>
          </w:p>
          <w:p>
            <w:pPr>
              <w:spacing w:after="3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El flujo de caja libre cubre los dividendos 1,5–2,6x aun con más capex (2025, CLP mil MM)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600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Estado de flujos (método directo; intereses pagados en financiamiento). FCF antes de amortizaciones. Capex = propiedades de inversión + intangibles + PP&amp;E (15,8% de los ingresos en 2025; 24,8% en 1S26). Fuente: EEFF Plaza S.A. (CMF); análisis del equipo.</w:t>
            </w:r>
          </w:p>
        </w:tc>
      </w:tr>
    </w:tbl>
    <w:p>
      <w:pPr>
        <w:pageBreakBefore/>
        <w:spacing w:after="0"/>
      </w:pPr>
    </w:p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cantSplit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pBdr>
                <w:bottom w:val="single" w:color="E9004B" w:sz="8" w:space="1"/>
              </w:pBdr>
              <w:spacing w:after="5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La caja cubre el dividendo 2,6x; el techo es la política, no la liquidez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flujo operativo subió de CLP 301 mil MM en 2024 a CLP 441 mil MM en 2025, convirtiendo 98,7% del EBITDA antes de impuestos. El impuesto pagado fue solo 15% del resultado operacional, protegido por goodwill tributario de reorganizaciones en Chile y pérdidas tributarias (Nota 13), y subirá hacia la tasa legal de 27%. Después de capex e intereses netos, el flujo de caja libre antes del servicio de la deuda fue CLP 280 mil MM y cubrió los dividendos 2,6x (Figura 4).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salto de 38,6% del flujo operativo en 1S26 no es capacidad de generación: el 59% corresponde a cobranzas de diciembre que se revierten vía capital de trabajo. Los días de cobro bajaron de 66 a 50, sin señales de peor recaudación.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 política de dividendos reparte 40% de la utilidad distribuible con un año de rezago, por lo que la caja retenida es alta: CLP 171,6 mil MM en 2025. En el caso base, el FFO sube de CLP 428,5 mil MM en 2026E a 501,6 mil MM en 2031E y los dividendos ordinarios de CLP 147,7 a 172,6 mil MM; la caja restante, junto con la deuda nueva, financia el capex y las distribuciones adicionales (Anexo 5).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capex está subiendo. Los compromisos contractuales de inversión aumentaron a CLP 78 mil MM en junio de 2026 desde CLP 18 mil MM en diciembre de 2025, y el capex en propiedades de 1S26 fue CLP 81 mil MM (+176%). El caso base financia los USD 445 MM restantes del pipeline en 2026–2028 y luego sigue agregando cerca de 27.000 m² de GLA al año, el ritmo orgánico de 2022–2025, por lo que el capex se estabiliza cerca de 16% de los ingresos y no en el piso de mantención de 5,5% (Figura 7).</w:t>
            </w:r>
          </w:p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Los indicadores de flujo justifican el AAA; los ratios contables lo exageran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LTV bajó de 26,9% a 18,8% en 2025, pero 5,0 pp de la caída de 8,0 pp vinieron de revalorizar el denominador; con las propiedades al valor de 2024 más las adiciones, el LTV habría sido 23,8% (Figura 5). Los indicadores de flujo son el lente honesto y respaldan el alza de Feller Rate a AAA (25 de septiembre de 2026): la DFN/EBITDA bajó de 3,78x a 2,36x con el EBITDA UDM de junio de 2026 (la cifra de 2024 incluye solo un mes de Perú), y el EBITDA cubre 8,4x los costos financieros.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La deuda bruta de CLP 1.633 mil MM está 79% en UF, 14% en PEN y 7% en COP, en línea con las monedas de los ingresos; el 95% es de largo plazo, con una duración de 6,6 años. Los bonos en UF pagan un cupón real de 3,36% (3,48% efectivo), pero con el reajuste UF el costo nominal total fue cercano a 7% en 2025. Los vencimientos se concentran en 2029, 2031 y 2033 (Figura 6); refinanciar la serie S (1,32% efectivo) a la tasa de la última emisión (4,33%) sumaría cerca de CLP 4,9 mil MM al año. La liquidez es holgada: a junio de 2026 la razón corriente era 2,50x y la caja cubría 1,71x los pasivos corrientes.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Hay un pasivo que no aparece en el LTV: los impuestos diferidos, CLP 1.313,7 mil MM a junio de 2026, casi 80% de la deuda financiera bruta. Nacen casi por completo de la revalorización de las propiedades; no son deuda que se pague, pero muestran cuánto del patrimonio contable de CLP 4.820,9 mil MM es tasación y no caja (Anexo 2). Frente a sus pares el balance es conservador: LTV de 18,8% contra 42,9% de Parque Arauco y 16,3% de Cencosud Shopping, y DFN/EBITDA de 2,49x contra 5,68x y 2,11x (Anexo 6).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Nuestro caso base usa esa holgura. La DFN/EBITDA converge linealmente de 2,36x a 3,5x a fines de 2031E, entre Cencosud Shopping (2,1x) y Parque Arauco (5,7x), y cada vuelta adicional suma 25 pb al costo real de la deuda. La caja por sobre el payout de 40% y el plan de capex se devuelve con recompras o dividendos extraordinarios: CLP 1,8 billones acumulados en 2S26E–2031E (Anexo 5). Con 3,5x, el nuevo AAA probablemente quedaría bajo presión.</w:t>
            </w:r>
          </w:p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El forecast proyecta lo que respalda la historia, incluido el ritmo de expansión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Los ingresos crecen 7,7% en 2026E y 5,0% en 2031E (CAGR 2026E–2031E de 6,4%), a medida que el crecimiento real en mismas tiendas converge a los puntos medios de la tasación, maduran los 123.700 m² del pipeline con fecha y, desde 2029E, abren cerca de 27.000 m² al año al ritmo histórico (Figura 7); los ingresos 2026E y 2027E quedan a menos de 0,6% del consenso. El margen EBITDA se mantiene en 79,7–79,8%, bajo el máximo de 2025. El impuesto en caja se normaliza de 16,8% a 27% hacia 2030E y los costos financieros suben con el apalancamiento, por lo que el margen FFO baja de 60,9% a 52,2%. El capital de trabajo se mantiene en 15,6% de los ingresos, el nivel de diciembre de 2025 (Anexo 1). El GLA nuevo rinde 6,9% sobre el costo, un retorno real de 5,0% después de impuestos frente a una WACC real de 7,2%: la expansión suma ingresos, pero no valor.</w:t>
            </w:r>
          </w:p>
          <w:p>
            <w:pPr>
              <w:keepNext/>
              <w:pBdr>
                <w:bottom w:val="single" w:color="E9004B" w:sz="8" w:space="1"/>
              </w:pBdr>
              <w:spacing w:after="5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Lo que esto significa para la valoración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El análisis deja tres conclusiones para el modelo. Primero, la base de utilidades correcta es la caja: usamos el EBITDA de la compañía, que elimina una sola vez la revalorización (Anexo 4), y la utilidad distribuible como ancla, no la utilidad contable de CLP 1.431 mil MM. Segundo, la calidad del negocio no está en duda: Mallplaza tiene el ROE normalizado más alto de sus pares locales (9,7% frente a 7,8% de Parque Arauco y 8,0% de Cencosud Shopping) con un LTV de solo 18,8% (Anexo 6).</w:t>
            </w:r>
          </w:p>
          <w:p>
            <w:pPr>
              <w:spacing w:after="60" w:before="0" w:line="228" w:lineRule="auto"/>
              <w:jc w:val="both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Tercero, el retorno sobre el capital a valor razonable es bajo. El ROIC de 2025, con NOPAT al 27% sobre el capital invertido a valor de tasación, fue 7,3% (Anexo 3), por debajo de una WACC nominal de 10,4%: las propiedades valen en libros más de lo que sus flujos justifican a nuestra tasa. Al precio actual, el FFO 2026E de CLP 428,5 mil MM rinde 5,5% sobre el valor de mercado (18x FFO) y la utilidad distribuible 4,9%: el mercado paga por estos flujos como si fueran casi libres de riesgo. Esa es la brecha que cuantifica la sección de Valuación. En suma: un negocio de alta calidad, con caja predecible y un balance holgado, cuyo precio ya descuenta más de lo que esos flujos pueden entregar.</w:t>
            </w:r>
          </w:p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30" w:before="2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5: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Dos tercios de la caída del LTV en 2025 son revalorización, no desapalancamiento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1828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LTV = DFN / propiedades de inversión. Deuda y adiciones = LTV con propiedades al valor 2024 más adiciones 2025 (23,8%). Ratios jun-26 sobre EBITDA UDM. Fuente: EEFF (CMF), Notas 11 y 26; Análisis Razonado 2025 y 1S26; análisis del equipo.</w:t>
            </w:r>
          </w:p>
          <w:p>
            <w:pPr>
              <w:spacing w:after="3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6: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El riesgo de refinanciamiento está en 2029, 2031 y 2033, no en el corto plazo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2009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Bonos en UF, valor libro dic-25 (total CLP 1.277,7 mil MM); etiqueta = tasa real efectiva (años con dos series: promedio ponderado). Excluye CLP 301,6 mil MM de deuda bancaria en PEN/COP. Fuente: EEFF dic-25, Nota 14; análisis del equipo.</w:t>
            </w:r>
          </w:p>
          <w:p>
            <w:pPr>
              <w:spacing w:after="30" w:before="90" w:line="228" w:lineRule="auto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Figura 7: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Tras el pipeline, la expansión mantiene el capex cerca de CLP 150 mil MM al año mientras el apalancamiento sube a 3,5x</w:t>
            </w:r>
          </w:p>
          <w:p>
            <w:pPr>
              <w:spacing w:after="20" w:before="0" w:line="240" w:lineRule="auto"/>
            </w:pPr>
            <w:r>
              <w:drawing>
                <wp:inline distT="0" distB="0" distL="0" distR="0">
                  <wp:extent cx="2257425" cy="2695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425" cy="2695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0" w:line="216" w:lineRule="auto"/>
              <w:jc w:val="both"/>
            </w:pPr>
            <w:r>
              <w:rPr>
                <w:rFonts w:ascii="Arial" w:cs="Arial" w:eastAsia="Arial" w:hAnsi="Arial"/>
                <w:color w:val="5F5F5F"/>
                <w:sz w:val="11"/>
                <w:szCs w:val="11"/>
              </w:rPr>
              <w:t xml:space="preserve">2026E incluye CLP 84,2 mil MM gastados en 1S26; el apalancamiento 2024A incluye un mes de EBITDA de Perú. Fuente: EEFF (CMF); release 2T26 (pipeline); caso base de valoración (Anexos 1 y 5).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Página </w:t>
    </w:r>
    <w:r>
      <w:rPr>
        <w:rFonts w:ascii="Arial" w:cs="Arial" w:eastAsia="Arial" w:hAnsi="Arial"/>
        <w:color w:val="5F5F5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fdba50826c0f47161d8972132ca5b20b0dbd4e.png"/><Relationship Id="rId10" Type="http://schemas.openxmlformats.org/officeDocument/2006/relationships/image" Target="media/7d8204fda84a881810f270fea79de3fb869b95ea.png"/><Relationship Id="rId11" Type="http://schemas.openxmlformats.org/officeDocument/2006/relationships/image" Target="media/1c1b905e7784077b546c946da99ba143a175872b.png"/><Relationship Id="rId12" Type="http://schemas.openxmlformats.org/officeDocument/2006/relationships/image" Target="media/78fd8a3b95d09da84d6f02bcf7058100a332498a.png"/><Relationship Id="rId13" Type="http://schemas.openxmlformats.org/officeDocument/2006/relationships/image" Target="media/1d9a00e71859a315af64a6732f0ba93bf8e1e282.png"/><Relationship Id="rId14" Type="http://schemas.openxmlformats.org/officeDocument/2006/relationships/image" Target="media/c56e3105f1791428290fa44aea05f2c406719a25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2026-10-14T18:43:30.759Z</dcterms:created>
  <dcterms:modified xsi:type="dcterms:W3CDTF">2026-10-14T18:43:30.759Z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