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DE UN MALL EN LA FLORIDA A 37 CENTROS URBANOS EN LA REGIÓN ANDINA</w:t>
            </w:r>
          </w:p>
          <w:p>
            <w:pPr>
              <w:spacing w:after="60" w:before="0" w:line="228" w:lineRule="auto"/>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keepNext/>
              <w:pBdr>
                <w:bottom w:val="single" w:color="E9004B" w:sz="8" w:space="1"/>
              </w:pBdr>
              <w:spacing w:after="50" w:before="90"/>
            </w:pPr>
            <w:r>
              <w:rPr>
                <w:rFonts w:ascii="Arial" w:cs="Arial" w:eastAsia="Arial" w:hAnsi="Arial"/>
                <w:b/>
                <w:bCs/>
                <w:color w:val="14284B"/>
                <w:sz w:val="16"/>
                <w:szCs w:val="16"/>
              </w:rPr>
              <w:t xml:space="preserve">UN MIX DE LOCATARIOS QUE SE REINVENTA Y MÁRGENES ALTOS POR DISEÑO</w:t>
            </w:r>
          </w:p>
          <w:p>
            <w:pPr>
              <w:spacing w:after="60" w:before="0" w:line="228" w:lineRule="auto"/>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keepNext/>
              <w:pBdr>
                <w:bottom w:val="single" w:color="E9004B" w:sz="8" w:space="1"/>
              </w:pBdr>
              <w:spacing w:after="50" w:before="90"/>
            </w:pPr>
            <w:r>
              <w:rPr>
                <w:rFonts w:ascii="Arial" w:cs="Arial" w:eastAsia="Arial" w:hAnsi="Arial"/>
                <w:b/>
                <w:bCs/>
                <w:color w:val="14284B"/>
                <w:sz w:val="16"/>
                <w:szCs w:val="16"/>
              </w:rPr>
              <w:t xml:space="preserve">EL VALOR SE CONCENTRA EN 10 ACTIVOS TIER A</w:t>
            </w:r>
          </w:p>
          <w:p>
            <w:pPr>
              <w:spacing w:after="60" w:before="0" w:line="228" w:lineRule="auto"/>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spacing w:after="20" w:before="0" w:line="240" w:lineRule="auto"/>
            </w:pP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31051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keepNext/>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keepNext/>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spacing w:after="20" w:before="0" w:line="240" w:lineRule="auto"/>
            </w:pPr>
            <w:r>
              <w:drawing>
                <wp:inline distT="0" distB="0" distL="0" distR="0">
                  <wp:extent cx="22574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27622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spacing w:after="30" w:before="9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spacing w:after="20" w:before="0" w:line="240" w:lineRule="auto"/>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4287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keepNext/>
              <w:pBdr>
                <w:bottom w:val="single" w:color="E9004B" w:sz="8" w:space="1"/>
              </w:pBdr>
              <w:spacing w:after="50" w:before="90"/>
            </w:pPr>
            <w:r>
              <w:rPr>
                <w:rFonts w:ascii="Arial" w:cs="Arial" w:eastAsia="Arial" w:hAnsi="Arial"/>
                <w:b/>
                <w:bCs/>
                <w:color w:val="14284B"/>
                <w:sz w:val="16"/>
                <w:szCs w:val="16"/>
              </w:rPr>
              <w:t xml:space="preserve">MALLPLAZA CONVIERTE SU ESCALA EN EL M² MÁS PRODUCTIVO DEL TRÍO</w:t>
            </w:r>
          </w:p>
          <w:p>
            <w:pPr>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keepNext/>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spacing w:after="20" w:before="0" w:line="240" w:lineRule="auto"/>
            </w:pPr>
            <w:r>
              <w:drawing>
                <wp:inline distT="0" distB="0" distL="0" distR="0">
                  <wp:extent cx="22574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7049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p>
            <w:pPr>
              <w:spacing w:after="30" w:before="9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spacing w:after="20" w:before="0" w:line="240" w:lineRule="auto"/>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0572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spacing w:after="30" w:before="9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spacing w:after="20" w:before="0" w:line="240" w:lineRule="auto"/>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3335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sectPr>
          <w:headerReference w:type="default" r:id="rId9"/>
          <w:footerReference w:type="default" r:id="rId1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AMBIENTAL, SOCIAL Y GOBIERNO CORPORATIVO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puntos) de la industria a nivel global y de su competencia directa en Chile (Figura 7), pero esto se contrarresta con el perfil “verde” de la empresa a nivel local, ya que figura como una de las principales REM a nivel regional. </w:t>
            </w:r>
            <w:r>
              <w:rPr>
                <w:rFonts w:ascii="Arial" w:cs="Arial" w:eastAsia="Arial" w:hAnsi="Arial"/>
                <w:b/>
                <w:bCs/>
                <w:i w:val="false"/>
                <w:iCs w:val="false"/>
                <w:color w:val="14284B"/>
                <w:sz w:val="16"/>
                <w:szCs w:val="16"/>
              </w:rPr>
              <w:t xml:space="preserve">Beneficios financieros potenciales: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I+D (CORFO) donde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keepNext/>
              <w:pBdr>
                <w:bottom w:val="single" w:color="E9004B" w:sz="8" w:space="1"/>
              </w:pBdr>
              <w:spacing w:after="50" w:before="90"/>
            </w:pPr>
            <w:r>
              <w:rPr>
                <w:rFonts w:ascii="Arial" w:cs="Arial" w:eastAsia="Arial" w:hAnsi="Arial"/>
                <w:b/>
                <w:bCs/>
                <w:color w:val="14284B"/>
                <w:sz w:val="16"/>
                <w:szCs w:val="16"/>
              </w:rPr>
              <w:t xml:space="preserve">AMBIENTAL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directas e indirectas para 2035 (65,6% de avance 2025). </w:t>
            </w:r>
            <w:r>
              <w:rPr>
                <w:rFonts w:ascii="Arial" w:cs="Arial" w:eastAsia="Arial" w:hAnsi="Arial"/>
                <w:b/>
                <w:bCs/>
                <w:i w:val="false"/>
                <w:iCs w:val="false"/>
                <w:color w:val="14284B"/>
                <w:sz w:val="16"/>
                <w:szCs w:val="16"/>
              </w:rPr>
              <w:t xml:space="preserve">Índices de sostenibilidad:</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Global Sustainability Yearbook;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Energía:</w:t>
            </w:r>
            <w:r>
              <w:rPr>
                <w:rFonts w:ascii="Arial" w:cs="Arial" w:eastAsia="Arial" w:hAnsi="Arial"/>
                <w:i w:val="false"/>
                <w:iCs w:val="false"/>
                <w:color w:val="1A1A1A"/>
                <w:sz w:val="16"/>
                <w:szCs w:val="16"/>
              </w:rPr>
              <w:t xml:space="preserve"> Plaza se ha propuesto disminuir en un 22% la intensidad energética del gasto común para el 2035 (35,5% de avance 2025; Figura 8). La meta propuesta de eficiencia eléctrica es que el 100% sea de energías renovables en 2026 (89,3% de avance). En 2025 la proporción anual fue 0,16 MWh/m² (Energía/GLA), siendo 0,14 renovable y 0,014 no renovable (Figura 9).</w:t>
            </w:r>
            <w:r>
              <w:rPr>
                <w:rFonts w:ascii="Arial" w:cs="Arial" w:eastAsia="Arial" w:hAnsi="Arial"/>
                <w:b/>
                <w:bCs/>
                <w:i w:val="false"/>
                <w:iCs w:val="false"/>
                <w:color w:val="14284B"/>
                <w:sz w:val="16"/>
                <w:szCs w:val="16"/>
              </w:rPr>
              <w:t xml:space="preserve">Agua:</w:t>
            </w:r>
            <w:r>
              <w:rPr>
                <w:rFonts w:ascii="Arial" w:cs="Arial" w:eastAsia="Arial" w:hAnsi="Arial"/>
                <w:i w:val="false"/>
                <w:iCs w:val="false"/>
                <w:color w:val="1A1A1A"/>
                <w:sz w:val="16"/>
                <w:szCs w:val="16"/>
              </w:rPr>
              <w:t xml:space="preserve"> Fijó el objetivo de disminuir en un 30% el consumo directo de agua para 2025, lo que se logró en un 100,9% esto se ve influenciado por sus certificaciones LEED y EDGE. En 2025 la proporción anual fue 0,77 m³/m² (Agua/GLA) y 0,66 m³/m²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de avance 2025), esto es vital para la gestión de emisiones GEI, donde Bloomberg reconoce a Plaza como Líder de la industria global. </w:t>
            </w:r>
            <w:r>
              <w:rPr>
                <w:rFonts w:ascii="Arial" w:cs="Arial" w:eastAsia="Arial" w:hAnsi="Arial"/>
                <w:b/>
                <w:bCs/>
                <w:i w:val="false"/>
                <w:iCs w:val="false"/>
                <w:color w:val="14284B"/>
                <w:sz w:val="16"/>
                <w:szCs w:val="16"/>
              </w:rPr>
              <w:t xml:space="preserve">Residuos:</w:t>
            </w:r>
            <w:r>
              <w:rPr>
                <w:rFonts w:ascii="Arial" w:cs="Arial" w:eastAsia="Arial" w:hAnsi="Arial"/>
                <w:i w:val="false"/>
                <w:iCs w:val="false"/>
                <w:color w:val="1A1A1A"/>
                <w:sz w:val="16"/>
                <w:szCs w:val="16"/>
              </w:rPr>
              <w:t xml:space="preserve"> Plaza propuso un 60% de valorización de residuos generados el 2025 (94,8% de avance;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Gestión climática:</w:t>
            </w:r>
            <w:r>
              <w:rPr>
                <w:rFonts w:ascii="Arial" w:cs="Arial" w:eastAsia="Arial" w:hAnsi="Arial"/>
                <w:i w:val="false"/>
                <w:iCs w:val="false"/>
                <w:color w:val="1A1A1A"/>
                <w:sz w:val="16"/>
                <w:szCs w:val="16"/>
              </w:rPr>
              <w:t xml:space="preserve"> 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keepNext/>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implementó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media entre hombres y mujeres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spacing w:after="30" w:before="9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p>
            <w:pPr>
              <w:spacing w:after="30" w:before="9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spacing w:after="30" w:before="9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GOBIERNO CORPORATIVO</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Directorio y comités: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Accionistas:</w:t>
            </w:r>
            <w:r>
              <w:rPr>
                <w:rFonts w:ascii="Arial" w:cs="Arial" w:eastAsia="Arial" w:hAnsi="Arial"/>
                <w:i w:val="false"/>
                <w:iCs w:val="false"/>
                <w:color w:val="1A1A1A"/>
                <w:sz w:val="16"/>
                <w:szCs w:val="16"/>
              </w:rPr>
              <w:t xml:space="preserve"> Plaza tiene un modelo de control concentrado, donde es controlado por Falabella S.A. por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Ética, auditoría y control:</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tc>
      </w:tr>
    </w:tbl>
    <w:p>
      <w:pPr>
        <w:sectPr>
          <w:headerReference w:type="default" r:id="rId11"/>
          <w:footerReference w:type="default" r:id="rId12"/>
          <w:type w:val="nextPage"/>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ANÁLISIS FINANCIERO</w:t>
      </w:r>
    </w:p>
    <w:p>
      <w:pPr>
        <w:shd w:fill="EEF1F6" w:color="auto" w:val="clear"/>
        <w:spacing w:after="60" w:line="228" w:lineRule="auto"/>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utilidad reportada sigue al tasador; el FFO sigue al negocio</w:t>
            </w:r>
          </w:p>
          <w:p>
            <w:pPr>
              <w:spacing w:after="60" w:before="0" w:line="228" w:lineRule="auto"/>
              <w:jc w:val="both"/>
            </w:pPr>
            <w:r>
              <w:rPr>
                <w:rFonts w:ascii="Arial" w:cs="Arial" w:eastAsia="Arial" w:hAnsi="Arial"/>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spacing w:after="60" w:before="0" w:line="228" w:lineRule="auto"/>
              <w:jc w:val="both"/>
            </w:pPr>
            <w:r>
              <w:rPr>
                <w:rFonts w:ascii="Arial" w:cs="Arial" w:eastAsia="Arial" w:hAnsi="Arial"/>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p>
            <w:pPr>
              <w:spacing w:after="60" w:before="0" w:line="228" w:lineRule="auto"/>
              <w:jc w:val="both"/>
            </w:pPr>
            <w:r>
              <w:rPr>
                <w:rFonts w:ascii="Arial" w:cs="Arial" w:eastAsia="Arial" w:hAnsi="Arial"/>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Dos tercios del crecimiento de 2025 fueron comprados; el orgánico real es cerca de 3%</w:t>
            </w:r>
          </w:p>
          <w:p>
            <w:pPr>
              <w:spacing w:after="60" w:before="0" w:line="228" w:lineRule="auto"/>
              <w:jc w:val="both"/>
            </w:pPr>
            <w:r>
              <w:rPr>
                <w:rFonts w:ascii="Arial" w:cs="Arial" w:eastAsia="Arial" w:hAnsi="Arial"/>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spacing w:after="60" w:before="0" w:line="228" w:lineRule="auto"/>
              <w:jc w:val="both"/>
            </w:pPr>
            <w:r>
              <w:rPr>
                <w:rFonts w:ascii="Arial" w:cs="Arial" w:eastAsia="Arial" w:hAnsi="Arial"/>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spacing w:after="60" w:before="0" w:line="228" w:lineRule="auto"/>
              <w:jc w:val="both"/>
            </w:pPr>
            <w:r>
              <w:rPr>
                <w:rFonts w:ascii="Arial" w:cs="Arial" w:eastAsia="Arial" w:hAnsi="Arial"/>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margen subió por mix y recuperación de gastos; el apalancamiento operativo se agotó</w:t>
            </w:r>
          </w:p>
          <w:p>
            <w:pPr>
              <w:spacing w:after="60" w:before="0" w:line="228" w:lineRule="auto"/>
              <w:jc w:val="both"/>
            </w:pPr>
            <w:r>
              <w:rPr>
                <w:rFonts w:ascii="Arial" w:cs="Arial" w:eastAsia="Arial" w:hAnsi="Arial"/>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spacing w:after="60" w:before="0" w:line="228" w:lineRule="auto"/>
              <w:jc w:val="both"/>
            </w:pPr>
            <w:r>
              <w:rPr>
                <w:rFonts w:ascii="Arial" w:cs="Arial" w:eastAsia="Arial" w:hAnsi="Arial"/>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0,7 pp más.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Celeste suma, rojo resta, azul = totales. Tras minoritarios (CLP 2,8 mil MM), el FFO atribuible es CLP 405,2 mil MM vs 405,3 reportado. Fuente: EEFF Plaza S.A. (CMF) 2025, Notas 13.1 y 23; análisis del equipo.</w:t>
            </w:r>
          </w:p>
          <w:p>
            <w:pPr>
              <w:spacing w:after="30" w:before="9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p>
            <w:pPr>
              <w:spacing w:after="30" w:before="9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caja cubre el dividendo 2,6x; el techo es la política, no la liquidez</w:t>
            </w:r>
          </w:p>
          <w:p>
            <w:pPr>
              <w:spacing w:after="60" w:before="0" w:line="228" w:lineRule="auto"/>
              <w:jc w:val="both"/>
            </w:pPr>
            <w:r>
              <w:rPr>
                <w:rFonts w:ascii="Arial" w:cs="Arial" w:eastAsia="Arial" w:hAnsi="Arial"/>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p>
            <w:pPr>
              <w:spacing w:after="60" w:before="0" w:line="228" w:lineRule="auto"/>
              <w:jc w:val="both"/>
            </w:pPr>
            <w:r>
              <w:rPr>
                <w:rFonts w:ascii="Arial" w:cs="Arial" w:eastAsia="Arial" w:hAnsi="Arial"/>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spacing w:after="60" w:before="0" w:line="228" w:lineRule="auto"/>
              <w:jc w:val="both"/>
            </w:pPr>
            <w:r>
              <w:rPr>
                <w:rFonts w:ascii="Arial" w:cs="Arial" w:eastAsia="Arial" w:hAnsi="Arial"/>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spacing w:after="60" w:before="0" w:line="228" w:lineRule="auto"/>
              <w:jc w:val="both"/>
            </w:pPr>
            <w:r>
              <w:rPr>
                <w:rFonts w:ascii="Arial" w:cs="Arial" w:eastAsia="Arial" w:hAnsi="Arial"/>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Los indicadores de flujo justifican el AAA; los ratios contables lo exageran</w:t>
            </w:r>
          </w:p>
          <w:p>
            <w:pPr>
              <w:spacing w:after="60" w:before="0" w:line="228" w:lineRule="auto"/>
              <w:jc w:val="both"/>
            </w:pPr>
            <w:r>
              <w:rPr>
                <w:rFonts w:ascii="Arial" w:cs="Arial" w:eastAsia="Arial" w:hAnsi="Arial"/>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spacing w:after="60" w:before="0" w:line="228" w:lineRule="auto"/>
              <w:jc w:val="both"/>
            </w:pPr>
            <w:r>
              <w:rPr>
                <w:rFonts w:ascii="Arial" w:cs="Arial" w:eastAsia="Arial" w:hAnsi="Arial"/>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spacing w:after="60" w:before="0" w:line="228" w:lineRule="auto"/>
              <w:jc w:val="both"/>
            </w:pPr>
            <w:r>
              <w:rPr>
                <w:rFonts w:ascii="Arial" w:cs="Arial" w:eastAsia="Arial" w:hAnsi="Arial"/>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spacing w:after="60" w:before="0" w:line="228" w:lineRule="auto"/>
              <w:jc w:val="both"/>
            </w:pPr>
            <w:r>
              <w:rPr>
                <w:rFonts w:ascii="Arial" w:cs="Arial" w:eastAsia="Arial" w:hAnsi="Arial"/>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forecast proyecta lo que respalda la historia, incluido el ritmo de expansión</w:t>
            </w:r>
          </w:p>
          <w:p>
            <w:pPr>
              <w:spacing w:after="60" w:before="0" w:line="228" w:lineRule="auto"/>
              <w:jc w:val="both"/>
            </w:pPr>
            <w:r>
              <w:rPr>
                <w:rFonts w:ascii="Arial" w:cs="Arial" w:eastAsia="Arial" w:hAnsi="Arial"/>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 que esto significa para la valoración</w:t>
            </w:r>
          </w:p>
          <w:p>
            <w:pPr>
              <w:spacing w:after="60" w:before="0" w:line="228" w:lineRule="auto"/>
              <w:jc w:val="both"/>
            </w:pPr>
            <w:r>
              <w:rPr>
                <w:rFonts w:ascii="Arial" w:cs="Arial" w:eastAsia="Arial" w:hAnsi="Arial"/>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spacing w:after="60" w:before="0" w:line="228" w:lineRule="auto"/>
              <w:jc w:val="both"/>
            </w:pPr>
            <w:r>
              <w:rPr>
                <w:rFonts w:ascii="Arial" w:cs="Arial" w:eastAsia="Arial" w:hAnsi="Arial"/>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p>
            <w:pPr>
              <w:spacing w:after="30" w:before="9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p>
            <w:pPr>
              <w:spacing w:after="30" w:before="9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incluye CLP 84,2 mil MM gastados en 1S26; el apalancamiento 2024A incluye un mes de EBITDA de Perú. Fuente: EEFF (CMF); release 2T26 (pipeline); caso base de valoración (Anexos 9 y 13).</w:t>
            </w:r>
          </w:p>
        </w:tc>
      </w:tr>
    </w:tbl>
    <w:p>
      <w:pPr>
        <w:sectPr>
          <w:headerReference w:type="default" r:id="rId13"/>
          <w:footerReference w:type="default" r:id="rId14"/>
          <w:type w:val="continuous"/>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keepNext/>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keepNext/>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val="false"/>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keepNext/>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trimestral mínimo de 75,8%) el precio objetivo cae a CLP 1.713; en un caso bull que suma WACC −100 pb, g de 2,5%, el margen trimestral máximo de 81,3% y la rebaja del impuesto a 23%, sube a CLP 2.627, todavía 26% bajo el precio. El APV (CLP 1.894), una Rf basada en el bono en pesos (~CLP 2.439) y otros objetivos de deuda (DCF de CLP 1.819 a 1.894) llevan a la misma conclusión (Anexo 18).</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(+5,1%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p>
      <w:pPr>
        <w:sectPr>
          <w:headerReference w:type="default" r:id="rId15"/>
          <w:footerReference w:type="default" r:id="rId1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keepNext/>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keepNext/>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keepNext/>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keepNext/>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sectPr>
          <w:headerReference w:type="default" r:id="rId17"/>
          <w:footerReference w:type="default" r:id="rId18"/>
          <w:type w:val="nextPage"/>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keepNext/>
              <w:pBdr>
                <w:bottom w:val="single" w:color="E9004B" w:sz="8" w:space="1"/>
              </w:pBdr>
              <w:spacing w:after="50" w:before="20"/>
            </w:pPr>
            <w:r>
              <w:rPr>
                <w:rFonts w:ascii="Arial" w:cs="Arial" w:eastAsia="Arial" w:hAnsi="Arial"/>
                <w:b/>
                <w:bCs/>
                <w:color w:val="14284B"/>
                <w:sz w:val="16"/>
                <w:szCs w:val="16"/>
              </w:rPr>
              <w:t xml:space="preserve">PENDIENTE DE REDACCIÓN</w:t>
            </w:r>
          </w:p>
          <w:p>
            <w:pPr>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tc>
        <w:tc>
          <w:tcPr>
            <w:tcW w:type="dxa" w:w="3550"/>
            <w:tcBorders>
              <w:top w:val="none" w:color="FFFFFF" w:sz="0"/>
              <w:left w:val="none" w:color="FFFFFF" w:sz="0"/>
              <w:bottom w:val="none" w:color="FFFFFF" w:sz="0"/>
              <w:right w:val="none" w:color="FFFFFF" w:sz="0"/>
            </w:tcBorders>
            <w:vAlign w:val="top"/>
          </w:tcPr>
          <w:p>
            <w:pPr>
              <w:keepNext/>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VENDER</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2.076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3.555</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−41,6%</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1.857 / 2.951</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80% /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MALLPLAZ CI</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2,36x</w:t>
                  </w:r>
                </w:p>
              </w:tc>
            </w:tr>
          </w:tbl>
          <w:p>
            <w:pPr>
              <w:spacing w:before="30"/>
            </w:pPr>
            <w:r>
              <w:rPr>
                <w:rFonts w:ascii="Arial" w:cs="Arial" w:eastAsia="Arial" w:hAnsi="Arial"/>
                <w:color w:val="5F5F5F"/>
                <w:sz w:val="11"/>
                <w:szCs w:val="11"/>
              </w:rPr>
              <w:t xml:space="preserve">Fuente: modelo de valoración v2; Bloomberg (rango 52 semanas); análisis del equipo.</w:t>
            </w:r>
          </w:p>
        </w:tc>
      </w:tr>
    </w:tbl>
    <w:p>
      <w:pPr>
        <w:sectPr>
          <w:headerReference w:type="default" r:id="rId19"/>
          <w:footerReference w:type="default" r:id="rId2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sectPr>
          <w:headerReference w:type="default" r:id="rId21"/>
          <w:footerReference w:type="default" r:id="rId22"/>
          <w:type w:val="nextPage"/>
          <w:pgSz w:w="11906" w:h="16838" w:orient="portrait"/>
          <w:pgMar w:top="1000" w:right="620" w:bottom="900" w:left="620" w:header="450" w:footer="400" w:gutter="0"/>
          <w:pgNumType w:start="1"/>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spacing w:after="30" w:before="90" w:line="228"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p>
          <w:p>
            <w:pPr>
              <w:spacing w:after="20" w:before="0" w:line="240" w:lineRule="auto"/>
            </w:pPr>
            <w:r>
              <w:drawing>
                <wp:inline distT="0" distB="0" distL="0" distR="0">
                  <wp:extent cx="225742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257425" cy="17430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p>
          <w:p>
            <w:pPr>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57425" cy="15144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Evidencia principal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val="false"/>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val="false"/>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sectPr>
          <w:headerReference w:type="default" r:id="rId23"/>
          <w:footerReference w:type="default" r:id="rId24"/>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keepNext/>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keepNext/>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keepNext/>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Fuente: Memoria Mallplaza 2025.</w:t>
      </w:r>
    </w:p>
    <w:p>
      <w:pPr>
        <w:keepNext/>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p>
      <w:pPr>
        <w:keepNext/>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Liderazgo</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Participación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keepNext/>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sectPr>
          <w:headerReference w:type="default" r:id="rId25"/>
          <w:footerReference w:type="default" r:id="rId26"/>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1S26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val="false"/>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val="false"/>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val="false"/>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sectPr>
          <w:headerReference w:type="default" r:id="rId27"/>
          <w:footerReference w:type="default" r:id="rId28"/>
          <w:type w:val="continuous"/>
          <w:pgSz w:w="11906" w:h="16838" w:orient="portrait"/>
          <w:pgMar w:top="1000" w:right="620" w:bottom="900" w:left="620" w:header="450" w:footer="400" w:gutter="0"/>
          <w:pgNumType/>
          <w:docGrid w:linePitch="360"/>
        </w:sectPr>
      </w:pPr>
    </w:p>
    <w:p>
      <w:pPr>
        <w:spacing w:before="160"/>
      </w:pPr>
    </w:p>
    <w:p>
      <w:pPr>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keepNext/>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1.379</w:t>
                  </w:r>
                </w:p>
              </w:tc>
            </w:tr>
          </w:tbl>
          <w:p/>
        </w:tc>
      </w:tr>
    </w:tbl>
    <w:p>
      <w:pPr>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keepNext/>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pBdr>
          <w:bottom w:val="single" w:color="14284B" w:sz="18" w:space="2"/>
        </w:pBdr>
        <w:spacing w:after="80" w:before="0"/>
      </w:pPr>
      <w:r>
        <w:rPr>
          <w:rFonts w:ascii="Arial" w:cs="Arial" w:eastAsia="Arial" w:hAnsi="Arial"/>
          <w:b/>
          <w:bCs/>
          <w:color w:val="14284B"/>
          <w:sz w:val="30"/>
          <w:szCs w:val="30"/>
        </w:rPr>
        <w:t xml:space="preserve">ANEXO 17: MÚLTIPLOS COMPARABLES</w:t>
      </w:r>
    </w:p>
    <w:p>
      <w:pPr>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keepNext/>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pBdr>
          <w:bottom w:val="single" w:color="14284B" w:sz="18" w:space="2"/>
        </w:pBdr>
        <w:spacing w:after="80" w:before="260"/>
      </w:pPr>
      <w:r>
        <w:rPr>
          <w:rFonts w:ascii="Arial" w:cs="Arial" w:eastAsia="Arial" w:hAnsi="Arial"/>
          <w:b/>
          <w:bCs/>
          <w:color w:val="14284B"/>
          <w:sz w:val="30"/>
          <w:szCs w:val="30"/>
        </w:rPr>
        <w:t xml:space="preserve">ANEXO 18: ESCENARIOS Y ROBUSTEZ</w:t>
      </w:r>
    </w:p>
    <w:p>
      <w:pPr>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keepNext/>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1.847</w:t>
                  </w:r>
                </w:p>
              </w:tc>
            </w:tr>
          </w:tbl>
          <w:p/>
        </w:tc>
      </w:tr>
    </w:tbl>
    <w:p>
      <w:pPr>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keepNext/>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keepNext/>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keepNext/>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keepNext/>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sectPr>
          <w:headerReference w:type="default" r:id="rId29"/>
          <w:footerReference w:type="default" r:id="rId3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keepNext/>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keepNext/>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t xml:space="preserve"/>
      </w:r>
    </w:p>
    <w:p>
      <w:pPr>
        <w:keepNext/>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keepNext/>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keepNext/>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keepNext/>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31"/>
      <w:footerReference w:type="default" r:id="rId32"/>
      <w:type w:val="nextPage"/>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64ba9315e797149d5131110a457c52ed8e3f19d3.png"/><Relationship Id="rId34" Type="http://schemas.openxmlformats.org/officeDocument/2006/relationships/image" Target="media/34532f7c30c17d6314684a916c3bfde3999b7416.png"/><Relationship Id="rId35" Type="http://schemas.openxmlformats.org/officeDocument/2006/relationships/image" Target="media/7740e404b19cbf777a033b14c42409a022747a72.png"/><Relationship Id="rId36" Type="http://schemas.openxmlformats.org/officeDocument/2006/relationships/image" Target="media/f15c089be8e0d753539f6f9eeefa3fe9c0bc4f68.png"/><Relationship Id="rId37" Type="http://schemas.openxmlformats.org/officeDocument/2006/relationships/image" Target="media/b21d50f01ceb50050bb1fcd3d7e05774045c60c5.png"/><Relationship Id="rId38" Type="http://schemas.openxmlformats.org/officeDocument/2006/relationships/image" Target="media/0cebf95ed6b1035d4fc1453eaa063682bfc6d832.png"/><Relationship Id="rId39" Type="http://schemas.openxmlformats.org/officeDocument/2006/relationships/image" Target="media/ed411ba3c606390f872c40f1b4caf70649f76480.png"/><Relationship Id="rId40" Type="http://schemas.openxmlformats.org/officeDocument/2006/relationships/image" Target="media/bb229cbba7c93bbcdce30a13122f93af2ad5370c.png"/><Relationship Id="rId41" Type="http://schemas.openxmlformats.org/officeDocument/2006/relationships/image" Target="media/8fe419fd582c8d631f848117014dd8fdfe47e661.png"/><Relationship Id="rId42" Type="http://schemas.openxmlformats.org/officeDocument/2006/relationships/image" Target="media/4bc2b50fc361b46958993af72b6fed0f46eec7a4.png"/><Relationship Id="rId43" Type="http://schemas.openxmlformats.org/officeDocument/2006/relationships/image" Target="media/b0111e7433e81502552964a66525843934b6bbcb.png"/><Relationship Id="rId44" Type="http://schemas.openxmlformats.org/officeDocument/2006/relationships/image" Target="media/3ffdba50826c0f47161d8972132ca5b20b0dbd4e.png"/><Relationship Id="rId45" Type="http://schemas.openxmlformats.org/officeDocument/2006/relationships/image" Target="media/7d8204fda84a881810f270fea79de3fb869b95ea.png"/><Relationship Id="rId46" Type="http://schemas.openxmlformats.org/officeDocument/2006/relationships/image" Target="media/1c1b905e7784077b546c946da99ba143a175872b.png"/><Relationship Id="rId47" Type="http://schemas.openxmlformats.org/officeDocument/2006/relationships/image" Target="media/78fd8a3b95d09da84d6f02bcf7058100a332498a.png"/><Relationship Id="rId48" Type="http://schemas.openxmlformats.org/officeDocument/2006/relationships/image" Target="media/1d9a00e71859a315af64a6732f0ba93bf8e1e282.png"/><Relationship Id="rId49" Type="http://schemas.openxmlformats.org/officeDocument/2006/relationships/image" Target="media/c56e3105f1791428290fa44aea05f2c406719a25.png"/><Relationship Id="rId50" Type="http://schemas.openxmlformats.org/officeDocument/2006/relationships/image" Target="media/b6ad38b50f96473e1c95db300a0891d50e013037.png"/><Relationship Id="rId51" Type="http://schemas.openxmlformats.org/officeDocument/2006/relationships/image" Target="media/04fb2f47d0c2a10e8504a929c26d8d31ae4b5144.png"/><Relationship Id="rId52" Type="http://schemas.openxmlformats.org/officeDocument/2006/relationships/image" Target="media/c7060131278eba50ab0a6b4e4b2960b3ce4706aa.png"/><Relationship Id="rId53" Type="http://schemas.openxmlformats.org/officeDocument/2006/relationships/image" Target="media/03d5d8833b5c2cb5bd07e46a37d802973eaa624a.png"/><Relationship Id="rId54" Type="http://schemas.openxmlformats.org/officeDocument/2006/relationships/image" Target="media/e2ccf62f48e92e82e3d897a5379bf2c580267fad.png"/><Relationship Id="rId55" Type="http://schemas.openxmlformats.org/officeDocument/2006/relationships/image" Target="media/0897f311e5cbffecbbe06a7ec01f09ab8e5e0710.png"/><Relationship Id="rId56" Type="http://schemas.openxmlformats.org/officeDocument/2006/relationships/image" Target="media/6126286bee20cf8b01464e351d7a26ba2dd68ffb.png"/><Relationship Id="rId57" Type="http://schemas.openxmlformats.org/officeDocument/2006/relationships/image" Target="media/3964fb994282e9090b06f98a92091ef0c025b273.png"/><Relationship Id="rId58" Type="http://schemas.openxmlformats.org/officeDocument/2006/relationships/image" Target="media/c186a4abce57fb872cd303c60ab1117ebc25455f.png"/><Relationship Id="rId59" Type="http://schemas.openxmlformats.org/officeDocument/2006/relationships/image" Target="media/806bcde468984aadc88cffb24a22441c8f646a4a.png"/><Relationship Id="rId60" Type="http://schemas.openxmlformats.org/officeDocument/2006/relationships/image" Target="media/bf577d13a0a682b653e02a9c3ca9b3cb35eae0f3.png"/><Relationship Id="rId61" Type="http://schemas.openxmlformats.org/officeDocument/2006/relationships/image" Target="media/6e4680ecbf0aa76ff00a7a0ea476ccf717a865f6.png"/><Relationship Id="rId62" Type="http://schemas.openxmlformats.org/officeDocument/2006/relationships/image" Target="media/4609d9854ebb5b18f53a96249b39f91c7e2c04ad.png"/><Relationship Id="rId63" Type="http://schemas.openxmlformats.org/officeDocument/2006/relationships/image" Target="media/3b142e586c3e5210e292c0bd5ee719159683478e.png"/><Relationship Id="rId64" Type="http://schemas.openxmlformats.org/officeDocument/2006/relationships/image" Target="media/438682b6a2423995622f6a04ae6a9ebde6b1b73c.png"/><Relationship Id="rId65" Type="http://schemas.openxmlformats.org/officeDocument/2006/relationships/image" Target="media/ff2104c08e4ce6fa65fd948e42737135974bf6c7.png"/><Relationship Id="rId66" Type="http://schemas.openxmlformats.org/officeDocument/2006/relationships/image" Target="media/68d45e370e4ab8a3c4bafdcf440cb34d293a9255.png"/><Relationship Id="rId67" Type="http://schemas.openxmlformats.org/officeDocument/2006/relationships/image" Target="media/3fe8812a3136aa29736494e44ab849dc7868369a.png"/><Relationship Id="rId68" Type="http://schemas.openxmlformats.org/officeDocument/2006/relationships/image" Target="media/a1d8382ea339674a86ad98c542df97d034942bd7.png"/><Relationship Id="rId69" Type="http://schemas.openxmlformats.org/officeDocument/2006/relationships/image" Target="media/dbaedb451f19eb2ab39541b003ff01e6177ade9c.png"/><Relationship Id="rId70" Type="http://schemas.openxmlformats.org/officeDocument/2006/relationships/image" Target="media/b6d2ae5f89549048d7c9582bcdc25f29ceb9fdcd.png"/><Relationship Id="rId71" Type="http://schemas.openxmlformats.org/officeDocument/2006/relationships/image" Target="media/b37f9670dd9b87d723848d2dd6de478ef16272e2.png"/><Relationship Id="rId72" Type="http://schemas.openxmlformats.org/officeDocument/2006/relationships/image" Target="media/a8802a15131acf6d8cfb6d2b23415df3be75356e.png"/><Relationship Id="rId73" Type="http://schemas.openxmlformats.org/officeDocument/2006/relationships/image" Target="media/339b3b3fea9fdc23356260d546ff3bd5cd9a17b1.png"/><Relationship Id="rId74" Type="http://schemas.openxmlformats.org/officeDocument/2006/relationships/image" Target="media/53969dddf59bc1c8f16c396151f494cd3593db61.png"/><Relationship Id="rId75" Type="http://schemas.openxmlformats.org/officeDocument/2006/relationships/image" Target="media/30cd18c8e68475a6e62bd49f65e7c79a20aa9d06.png"/><Relationship Id="rId76" Type="http://schemas.openxmlformats.org/officeDocument/2006/relationships/image" Target="media/71234321f10eba3adcbbd976d76091adc5da5213.png"/><Relationship Id="rId77" Type="http://schemas.openxmlformats.org/officeDocument/2006/relationships/image" Target="media/ee3ce46107e934bd3d11829fefbef3a94a67d56d.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2026-10-14T18:48:27.756Z</dcterms:created>
  <dcterms:modified xsi:type="dcterms:W3CDTF">2026-10-14T18:48:27.757Z</dcterms:modified>
</cp:coreProperties>
</file>

<file path=docProps/custom.xml><?xml version="1.0" encoding="utf-8"?>
<Properties xmlns="http://schemas.openxmlformats.org/officeDocument/2006/custom-properties" xmlns:vt="http://schemas.openxmlformats.org/officeDocument/2006/docPropsVTypes"/>
</file>