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[Z]).</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28). The market is pricing the stock almost as if it were a bond.</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29). These are assumptions the team can defend line by line (Appendix [C]).</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30). Assuming more growth would not close the gap with the price; it would widen it.</w:t>
            </w:r>
          </w:p>
          <w:p>
            <w:pPr>
              <w:spacing w:after="60" w:before="0" w:line="228" w:lineRule="auto"/>
              <w:jc w:val="both"/>
            </w:pP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Working capital: an assumption that does not move the price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31).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32):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33). The market pays 1.61x an equity base already at fair value, appraised at a ~5.55% real rate (Note 11): it pays more than the appraisers themselves. To justify CLP 3,555, the WACC would have to be 285 bp lower (Figure 34); even at the appraisers' rate, the DCF would be CLP 2,660.</w:t>
            </w:r>
          </w:p>
          <w:p>
            <w:pPr>
              <w:spacing w:after="60" w:before="0" w:line="228" w:lineRule="auto"/>
              <w:jc w:val="both"/>
            </w:pPr>
            <w:r>
              <w:rPr>
                <w:rFonts w:ascii="Arial" w:cs="Arial" w:eastAsia="Arial" w:hAnsi="Arial"/>
                <w:color w:val="1A1A1A"/>
                <w:sz w:val="16"/>
                <w:szCs w:val="16"/>
              </w:rPr>
              <w:t xml:space="preserve">We pushed the thesis to its extremes. In a bear case (WACC +100 bp and the 75.8% quarterly-low margin) the target falls to CLP 1,713; in a bull case combining WACC −100 bp, g of 2.5%, the 81.3% quarterly-peak margin and the cut in corporate tax to 23%, it rises to CLP 2,627, still 26% below the price. APV (CLP 1,894), a peso-bond Rf (~CLP 2,439) and other debt targets (DCF of CLP 1,819 to 1,894) lead to the same conclusion (Appendix [F]).</w:t>
            </w:r>
          </w:p>
          <w:p>
            <w:pPr>
              <w:spacing w:after="60" w:before="0" w:line="228" w:lineRule="auto"/>
              <w:jc w:val="both"/>
            </w:pP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14c883e6f2b898c089b825413644af7dee880dd.png"/><Relationship Id="rId10" Type="http://schemas.openxmlformats.org/officeDocument/2006/relationships/image" Target="media/a62342d9ec50c46f4e7f430f13c67905c743e7ce.png"/><Relationship Id="rId11" Type="http://schemas.openxmlformats.org/officeDocument/2006/relationships/image" Target="media/a98ec5db30a9b2fae58f506a01267ad00c0545c0.png"/><Relationship Id="rId12" Type="http://schemas.openxmlformats.org/officeDocument/2006/relationships/image" Target="media/8328ba562cddad3f672e3301050fb517a3b5f8aa.png"/><Relationship Id="rId13" Type="http://schemas.openxmlformats.org/officeDocument/2006/relationships/image" Target="media/30cb8469be326b2ca7bbe97b9caa7e1c4842f99d.png"/><Relationship Id="rId14" Type="http://schemas.openxmlformats.org/officeDocument/2006/relationships/image" Target="media/11ae97cbbba07ae07141e02f3be12fcfb32209b4.png"/><Relationship Id="rId15" Type="http://schemas.openxmlformats.org/officeDocument/2006/relationships/image" Target="media/d40688d44987d578c4578ea19e236ca614ea843a.png"/><Relationship Id="rId16" Type="http://schemas.openxmlformats.org/officeDocument/2006/relationships/image" Target="media/b3e445c9f34a4a944fb280d19258017788441b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2026-10-14T18:40:39.916Z</dcterms:created>
  <dcterms:modified xsi:type="dcterms:W3CDTF">2026-10-14T18:40:39.916Z</dcterms:modified>
</cp:coreProperties>
</file>

<file path=docProps/custom.xml><?xml version="1.0" encoding="utf-8"?>
<Properties xmlns="http://schemas.openxmlformats.org/officeDocument/2006/custom-properties" xmlns:vt="http://schemas.openxmlformats.org/officeDocument/2006/docPropsVTypes"/>
</file>