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classifies each risk by likelihood and by its impact on value per share (Figures 24 to 26). Risks that could not be quantified are classified according to the team's qualitative analysis of the company.</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24).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24).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26). The risk is that weaker consumption prevents passing the UF through to rents: without that pass-through, UF +3% takes 0.9% off the target price. Weaker consumption also slows the new business lines (Appendix [X]). </w:t>
            </w:r>
            <w:r>
              <w:rPr>
                <w:rFonts w:ascii="Arial" w:cs="Arial" w:eastAsia="Arial" w:hAnsi="Arial"/>
                <w:i/>
                <w:iCs/>
                <w:color w:val="5F5F5F"/>
                <w:sz w:val="16"/>
                <w:szCs w:val="16"/>
              </w:rPr>
              <w:t xml:space="preserve">(Systematic · High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Target price sensitivity to a rise in the UF (CLP per share)</w:t>
            </w:r>
          </w:p>
          <w:p>
            <w:pPr>
              <w:spacing w:after="20" w:before="0"/>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c8ea2a55c01eaf39a5b555e17932328157a3b1.png"/><Relationship Id="rId10" Type="http://schemas.openxmlformats.org/officeDocument/2006/relationships/image" Target="media/f93973cef37e97655b8f2ee6a16d436dc31b144b.png"/><Relationship Id="rId11" Type="http://schemas.openxmlformats.org/officeDocument/2006/relationships/image" Target="media/622cee3aa81df98e2bbcd50166634b878e8dd818.png"/><Relationship Id="rId12" Type="http://schemas.openxmlformats.org/officeDocument/2006/relationships/image" Target="media/cf58b765b7de8ff377687c2671163528a8e708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2026-10-12T23:38:17.815Z</dcterms:created>
  <dcterms:modified xsi:type="dcterms:W3CDTF">2026-10-12T23:38:17.815Z</dcterms:modified>
</cp:coreProperties>
</file>

<file path=docProps/custom.xml><?xml version="1.0" encoding="utf-8"?>
<Properties xmlns="http://schemas.openxmlformats.org/officeDocument/2006/custom-properties" xmlns:vt="http://schemas.openxmlformats.org/officeDocument/2006/docPropsVTypes"/>
</file>