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p>
      <w:pPr>
        <w:shd w:fill="EEF1F6" w:color="auto" w:val="clear"/>
        <w:spacing w:after="80" w:line="228"/>
      </w:pPr>
      <w:sdt>
        <w:sdtPr>
          <w:rPr>
            <w:rFonts w:ascii="Arial" w:hAnsi="Arial" w:cs="Arial"/>
            <w:color w:val="1A1A1A"/>
            <w:sz w:val="16"/>
            <w:szCs w:val="16"/>
          </w:rPr>
          <w:id w:val="100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sdtContent>
      </w:sdt>
    </w:p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50"/>
        <w:gridCol w:w="250"/>
        <w:gridCol w:w="3800"/>
      </w:tblGrid>
      <w:tr>
        <w:tc>
          <w:tcPr>
            <w:tcW w:type="dxa" w:w="6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1 and which risks fall in the high-risk zone.]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2–4: which drivers move the value per share most, the downside versus the base case, and whether the recommendation holds.]</w:t>
                </w:r>
              </w:sdtContent>
            </w:sdt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2332948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233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(value per share, CLP)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2332948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233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1829763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1829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413000" cy="1601043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3000" cy="1601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Sz w:w="12240" w:h="15840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746b5a0733c5134444337eaf302215a3408f13.png"/><Relationship Id="rId8" Type="http://schemas.openxmlformats.org/officeDocument/2006/relationships/image" Target="media/c4f29ecd9f75820080661cc6a8d359da3c036502.png"/><Relationship Id="rId9" Type="http://schemas.openxmlformats.org/officeDocument/2006/relationships/image" Target="media/bad2f42a66d6670eff282734d8d3328c89bfd44e.png"/><Relationship Id="rId10" Type="http://schemas.openxmlformats.org/officeDocument/2006/relationships/image" Target="media/b275268d37fb7782b4135e48e6f11c3d7cafaff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2026-10-06T20:53:05.220Z</dcterms:created>
  <dcterms:modified xsi:type="dcterms:W3CDTF">2026-10-06T20:53:05.220Z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