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ANÁLISIS FINANCIERO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Supuestos del forecast (CLP nominales,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50"/>
              <w:gridCol w:w="23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Variable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Supuesto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Ancla 2026E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real + 2S26E que repite el crecimiento en moneda local de 1S26 (Chile 6,1%, Perú 7,9%, Colombia 7,3%)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intermedios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Inflación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IPC de consenso 2026–28; metas de los bancos centrales desde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Arriendos indexados a UF/IPC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Crecimiento real mismas tiendas (sin parking)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1,5% → 0,6%; Perú 1,5% → 0,4%; Colombia 2,5% → 2,1%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Puntos medios de la tasación (Nota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Ocupación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96,1% y Colombia 97,5% constantes; Perú 93,8% → 94,6% en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2T26 real; Perú vuelve a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12,1% / 6,4% / 9,0% de los ingresos 2026; crecimiento real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 (UDM +23,7%)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del pipeline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8.900 m² (2026), 72.950 m² (2027), 88.350 m² (2028, con 46.500 m² de otros proyectos en Chile); rampa 35/90/100%; 170.200 m² en total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2T26; Memoria 2025 (p. 45)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Expansión continua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27.075 m²/año que abren desde 2029E (67% Chile / 33% Perú); USD 3.603/m² a IPC; capex 50% en t−2 y 50% en t−1 (desde 2027E); margen 80,7%; yield on cost 7,3%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orgánico prom. 2022, 2023, 2025; costo/m² del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Tipo de cambio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Consenso de fin de año 2026–28; paridad de poder de compra después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5-oct-26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Margen EBITDA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Perú 82%, Colombia 74% (≈ 79,7% consolidado)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2024–UDM 2T26; sin el máximo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0,704% de los ingresos desde 2S26E; 2026E = 1S26 real (2.993) + 2S26E (2.565)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UDM 2T26 (4.766 / 677.333)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en caja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16,8% (2026E) → 19% → 21,5% → 24% → 27% (2030E–31E), tasa de Chile sobre todo el EBIT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corriente 1S26; Perú/Colombia en Anexo 18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Capex de mantención + TI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5,5% de los ingresos (2S26E: medio año)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(4,8%) – UDM 2T26 (~6,6%)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Capex incremental: pipeline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579 MM restantes a jun-26 (USD 445 MM de proyectos con fecha + USD 134 MM de otros proyectos en Chile), repartidos hasta la apertura (2S26E–28E)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pipeline; Exhibits v7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Capex incremental: expansión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Expansión continua (arriba); capex incremental terminal = 0 (g real 0%)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RONIC 5,3% &lt; WACC real 7,2%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 neto operativo en 15,6% de los ingresos (dic-25); 2026E cubre solo 2S26E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dic-25, primer cierre con Perú completo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Apalancamiento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DFN/EBITDA 2,36x (jun-26) → 3,5x a dic-31E, lineal; la caja sobre el plan se devuelve con recompras o dividendos extraordinarios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Supuesto del equipo; pares 2,1x–5,7x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de la deuda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financiero neto 3,08% de la DFN inicial + 25 pb reales por vuelta sobre 2,36x; reajuste UF sobre 79% de la deuda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anualizado; supuesto del equipo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Excluido: greenfield (Mallplaza Cali)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0,7 MM UDM jun-26 vs USD 55,2 MM en 2023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Excluido: Gran Plaza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Hecho posterior: contrato del 31-jul-26 sujeto a la SIC (Nota 30); USD 376 MM a cap rate 9,4% (NOI UDM); ~−CLP 11/acción a nuestro cap rate (Anexo 18)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Posterior a la valoración (30-jun-26)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de la utilidad distribuible con un año de rezago, más las distribuciones adicionales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Política del directorio (Nota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reportado · C cálculo del equipo · S supuesto del equipo · P consenso de mercado. Fuente: EEFF Plaza S.A. (CMF); release 2T26; Bloomberg ECFC; PwC Tax Summaries (jul-26);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Estados financieros resumidos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Estado de resultados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(definición 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y otras partidas op.,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1.445,4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1.190,4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1.968,1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1.730,6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 financiero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(44,9)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Reajuste UF de la deuda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(50,4)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Utilidad atribuible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1.431,0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1.258,1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 atribuible (compañía)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</w:tr>
          </w:tbl>
          <w:tbl>
            <w:tblPr>
              <w:tblW w:type="dxa" w:w="51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15"/>
              <w:gridCol w:w="615"/>
              <w:gridCol w:w="615"/>
              <w:gridCol w:w="615"/>
              <w:gridCol w:w="54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dic-24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% act.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Activos corrientes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405,0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472,1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507,1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6,4%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y equivalentes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202,0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179,2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268,3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347,6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4,4%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Activos no corrientes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5.510,1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7.111,5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7.478,6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93,6%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Propiedades de inversión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4.166,5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5.356,5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6.961,9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7.309,8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91,5%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Activos totales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4.796,3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5.915,1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7.583,6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7.985,7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Pasivos corrientes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344,5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307,1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203,2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Pasivos no corrientes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2.379,5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2.752,0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2.910,8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36,5%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Deuda financiera bruta (CP + LP)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1.264,0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1.617,6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1.579,3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1.633,4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por impuesto diferido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656,5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892,9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1.248,8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1.313,7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Patrimonio total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3.191,0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4.524,6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4.871,7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61,0%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Patrimonio atribuible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2.601,1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3.157,9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4.482,9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4.820,9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60,4%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Flujo de caja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Flujo operativo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(119,1)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Adquisiciones (incl. minoritarios)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Emisión de acciones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308,4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Endeudamiento neto / (pago)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Intereses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(68,2)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(125,8)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(87,6)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UDM = 2025 − 1S25 + 1S26. 2024 reexpresado en los EEFF dic-25; 2022A de los EEFF dic-23 reexpresados. Análisis vertical: % de los activos totales a jun-26; el balance es 92% propiedades a valor razonable y los impuestos diferidos (CLP 1.314 mil MM) equivalen al 80% de la deuda bruta. Fuente: EEFF Plaza S.A. (CMF) dic-24, dic-25, jun-26.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2D: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Fuentes y usos de caja y variación del flujo operativo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750"/>
              <w:gridCol w:w="75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Flujo operativo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441,1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Deuda nueva (bonos + préstamos)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245,7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Intereses recibidos y otros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17,6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Total fuentes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704,5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328,7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(PI + intangibles + PP&amp;E)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103,6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84,2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Amortización de deuda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332,2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52,4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Intereses pagados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68,2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pagados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108,5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87,6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Minoritarios y otros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2,9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Aumento de caja (antes de FX)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89,0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Total usos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704,5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328,7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Cobertura del dividendo: FCF antes de deuda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Cobertura tras amortización neta de deuda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1,8x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1,8x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Compromisos contractuales de capex (Nota 11)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18,1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78,0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Covenant DFN / patrimonio (≤ 2,0x; Nota 25)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0,29x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0,26x</w:t>
                  </w:r>
                </w:p>
              </w:tc>
            </w:tr>
          </w:tbl>
          <w:tbl>
            <w:tblPr>
              <w:tblW w:type="dxa" w:w="46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 flujo operativo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%Δ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Cobros por ventas y servicios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402,1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458,3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+56,1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Pagos a proveedores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(92,3)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(84,4)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+7,9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Pagos a empleados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(25,9)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(33,5)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−7,6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−11%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Otros pagos operativos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(45,1)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+4,6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Impuestos pagados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(48,5)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+11,0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Otras entradas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Flujo operativo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186,3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258,2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+71,9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100%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El alza de 1S26 viene de cobros (en parte saldos de diciembre: días de cobro de 66 a 50) e impuestos pagados menores; no se extrapola. FCF = flujo operativo − capex − intereses netos. Fuente: EEFF dic-25 y jun-26, estado de flujos directo; Notas 11 y 25.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Tablero de ratios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normalizado (utilidad distribuible)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al 27%, capital a valor razonable)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ROIC − WACC real (7,2%), pp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−0,7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+0,1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Razón corriente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/ pasivos corrientes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totales / patrimonio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(DFN / propiedades de inversión)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26,9%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17,6%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costos financieros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Rotación de activos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Capital de trabajo neto operativo / ingresos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15,6%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Días de cobro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n.s.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Puente de margen (punto 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Costos operativos (costo de ventas + GAV) / ingresos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D&amp;A incluida en esos costos / ingresos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(0,5%)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(0,4%)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(0,6%)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(0,9%)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= 1 − margen EBITDA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23,3%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23,0%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19,5%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20,3%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 / EBITDA mensual por m² (CLP, UDM jun-26)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24.006 / 19.241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El ROIC es un rendimiento en caja sobre capital a valor razonable (sin la revalorización de las propiedades): se compara con la WACC real, no con la nominal. Los costos operativos incluyen la D&amp;A; sin ella son exactamente 1 − margen EBITDA. Apalancamiento jun-26 sobre EBITDA UDM; días de cobro dic-24 n.s. (Perú consolida un mes). Fuente: EEFF (CMF); Análisis Razonado 1S26; Release 2Q26 (p. 8; m²);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3B: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Puente DFN/EBITDA dic-24 → jun-26 (CLP mil MM)</w:t>
            </w:r>
          </w:p>
          <w:tbl>
            <w:tblPr>
              <w:tblW w:type="dxa" w:w="51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325"/>
              <w:gridCol w:w="700"/>
              <w:gridCol w:w="700"/>
              <w:gridCol w:w="700"/>
              <w:gridCol w:w="700"/>
            </w:tblGrid>
            <w:tr>
              <w:trPr>
                <w:tblHeader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DFN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dic-24 reportado (Perú consolida un mes)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1.438,4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3,78x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Perímetro: Perú 12 meses en vez de 1 (UDM jun-26: 104,3 − 9,5)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1.438,4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475,5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3,03x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−0,75x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 del EBITDA del resto (a jun-26)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1.438,4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2,64x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−0,39x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Menor DFN = jun-26 reportado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1.285,7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2,36x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−0,28x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Perú = ingresos − costo de ventas − GAV del segmento (EEFF dic-24 Nota 31; dic-25 Nota 25; jun-26 Nota 24). Usar el UDM jun-26 como proxy del año completo hace de 3,03x una cota inferior del pro forma de 2024.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3C: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Cifras del texto: cálculo y fuente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25"/>
              <w:gridCol w:w="650"/>
              <w:gridCol w:w="1450"/>
            </w:tblGrid>
            <w:tr>
              <w:trPr>
                <w:tblHeader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Cifra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Valor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Fuente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Alza de la PI de Chile por valor razonable (1.141,2 / PI Chile dic-24 3.933,0)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29,0%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EEFF dic-25, Nota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Efecto de la tasa: (6,62% − 0,5%) / (5,64% − 0,5%) − 1, perpetuidad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19,1%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Nota 11: puntos medios dic-24 / dic-25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Participación de la tasa en el alza («dos tercios»)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Cálculo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 2025 por perímetro: (121,3 − 13,6) / 494,6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21,8 pp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EEFF dic-25, Nota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 2025 sin Perú: 532,6 / 481,0 − 1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10,7%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EEFF dic-25, Nota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2026E (704,0) vs consenso BEst (701,7; 13 analistas)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+0,3%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Bloomberg EE/ANR, 17-oct-26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2026E (561,3) vs consenso BEst (569,1)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−1,4%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Bloomberg EE, 17-oct-26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 2025 con el mismo método que los pares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10,0%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Anexo 14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EBITDA que usamos es el de la compañía: la revalorización se elimina una sola vez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1.971,7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1.735,4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Otros ingresos op. (principalmente valor razonable)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(85,4)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(1.448,9)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(1.194,5)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Otros gastos op. (no recurrentes)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ajustado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Control vs EBITDA de la compañía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El campo EBITDA de Bloomberg incluye la revalorización y no se usa. Fuente: EEFF (CMF), Notas 23.1–23.3; release 2T26;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Proyección del caso base (CLP mil MM)</w:t>
            </w:r>
          </w:p>
          <w:tbl>
            <w:tblPr>
              <w:tblW w:type="dxa" w:w="52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15"/>
              <w:gridCol w:w="565"/>
              <w:gridCol w:w="565"/>
              <w:gridCol w:w="565"/>
              <w:gridCol w:w="565"/>
              <w:gridCol w:w="565"/>
              <w:gridCol w:w="565"/>
            </w:tblGrid>
            <w:tr>
              <w:trPr>
                <w:tblHeader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mil MM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Chile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533,9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577,4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619,6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647,9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672,6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Perú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145,2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159,8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171,6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178,6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Colombia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75,2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88,1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92,2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96,8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Eliminaciones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(1,0)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expansión continua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704,0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767,2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826,7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886,8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935,6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982,3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659,2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707,4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746,3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783,6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Margen EBITDA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555,8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606,0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701,1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739,8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776,7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Tasa de impuesto en caja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19,0%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21,5%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24,0%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1S26 real (sin apertura)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(84,2)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mantención + TI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(19,4)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(42,2)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(45,5)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(48,6)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(50,8)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(52,8)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incremental — pipeline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(130,5)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(247,9)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(155,4)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Capex incremental — expansión continua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(46,3)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(95,3)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(98,2)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(101,1)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(104,2)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total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(234,1)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(336,4)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(296,2)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(146,8)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(151,9)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(156,9)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capital de trabajo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(9,9)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(9,3)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(9,4)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(7,3)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428,5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460,4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477,0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491,3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492,9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512,6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Utilidad distribuible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380,0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427,7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438,3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446,4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441,1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454,4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ordinarios (40%)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(147,7)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(152,0)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(171,1)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(175,3)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(178,5)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(176,5)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Distribuciones adicionales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(96,1)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(186,7)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(235,7)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(412,6)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(393,9)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(416,5)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2,88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3,09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3,29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1S26 real + 2S26E: D&amp;A 3,0 + 2,6; el capex de 1S26 (84,2) no tiene apertura por tipo en el release; Δ capital de trabajo y distribuciones adicionales cubren solo 2S26E. FFO = (EBITDA − costo financiero neto) × (1 − impuesto en caja), antes de minoritarios (~1%); utilidad distribuible = FFO − reajuste UF. Fuente: modelo v4 (hojas Forecast_Base, DCF, Deuda y Expansion).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Con el mismo ajuste, Mallplaza tiene el ROE normalizado más alto de sus pares locales (2025)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325"/>
              <w:gridCol w:w="933"/>
              <w:gridCol w:w="933"/>
              <w:gridCol w:w="1034"/>
            </w:tblGrid>
            <w:tr>
              <w:trPr>
                <w:tblHeader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/ propiedades iniciales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propiedades de inversión (consolidado)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7,6%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7,5%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reportado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37,5%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 normalizado — mismo método para los tres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10,0%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 normalizado — Mallplaza con utilidad distribuible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(deuda neta / PI)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42,9%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con inversiones en JV/asociadas en el denominador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40,6%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/ patrimonio atribuible, cierre (x)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1,69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Normalizado = utilidad atribuible − revalorización × (1 − 27%) × % atribuible a la controladora; revalorización = resultado operacional − (EBITDA − D&amp;A) en Mallplaza y Parque Arauco, y −otros ingresos op. netos en Cencosud Shopping. Límites: 27% uniforme (Perú 29,5%, Colombia 35%); EBITDA de Cencosud = ingresos × margen ajustado de Bloomberg; los tres operan en Chile, Perú y Colombia, con pesos distintos. Inversión de Parque Arauco en asociadas: CLP 209,2 mil MM (dic-25). Fuente: EEFF (CMF); Bloomberg FA (PARAUCO CI, CENCOMAL CI; 28-sep-26); análisis del equipo.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2026-10-17T22:32:22.334Z</dcterms:created>
  <dcterms:modified xsi:type="dcterms:W3CDTF">2026-10-17T22:32:22.334Z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