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FINANCIAL ANALYSIS</w:t>
      </w:r>
    </w:p>
    <w:p>
      <w:pPr>
        <w:shd w:fill="EEF1F6" w:color="auto" w:val="clear"/>
        <w:spacing w:after="60" w:line="228" w:lineRule="auto"/>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spacing w:after="30" w:before="4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ROE on distributable profit of 8–10% (not the shareholder's return); reported ROE follows the appraisal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’31 E</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887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936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982</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52.2</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660</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454</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46.3</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.095</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1.89</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r>
      <w:tr>
        <w:trPr>
          <w:cantSplit/>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8.5</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w:t>
            </w:r>
          </w:p>
        </w:tc>
      </w:tr>
    </w:tbl>
    <w:p>
      <w:pPr>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spacing w:after="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Reported earnings track the appraiser; FFO tracks the business</w:t>
            </w:r>
          </w:p>
          <w:p>
            <w:pPr>
              <w:spacing w:after="60" w:before="0" w:line="228" w:lineRule="auto"/>
              <w:jc w:val="both"/>
            </w:pPr>
            <w:r>
              <w:rPr>
                <w:rFonts w:ascii="Arial" w:cs="Arial" w:eastAsia="Arial" w:hAnsi="Arial"/>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 About two-thirds of Chile's 29% uplift came from a lower appraisal discount rate (6.62% to 5.64% real, Note 11), not from higher NOI (Appendix 3C).</w:t>
            </w:r>
          </w:p>
          <w:p>
            <w:pPr>
              <w:spacing w:after="60" w:before="0" w:line="228" w:lineRule="auto"/>
              <w:jc w:val="both"/>
            </w:pPr>
            <w:r>
              <w:rPr>
                <w:rFonts w:ascii="Arial" w:cs="Arial" w:eastAsia="Arial" w:hAnsi="Arial"/>
                <w:color w:val="1A1A1A"/>
                <w:sz w:val="16"/>
                <w:szCs w:val="16"/>
              </w:rPr>
              <w:t xml:space="preserve">Excluding fair-value gains net of deferred tax, audited distributable profit was CLP 369bn and ROE 9.7%; with the same adjustment we apply to peers it would be 10.0%, the highest of the three (Appendix 6). FFO, which we rebuild from the statements to within 0.02% of the reported CLP 405bn (Figure 2), held a 59–62% margin over 2022–2025 while net income swung more than fourfold. FFO excludes the UF indexation of debt (CLP 44bn, 11% of FFO); distributable profit includes it and is our conservative earnings anchor.</w:t>
            </w:r>
          </w:p>
          <w:p>
            <w:pPr>
              <w:spacing w:after="60" w:before="0" w:line="228" w:lineRule="auto"/>
              <w:jc w:val="both"/>
            </w:pPr>
            <w:r>
              <w:rPr>
                <w:rFonts w:ascii="Arial" w:cs="Arial" w:eastAsia="Arial" w:hAnsi="Arial"/>
                <w:color w:val="1A1A1A"/>
                <w:sz w:val="16"/>
                <w:szCs w:val="16"/>
              </w:rPr>
              <w:t xml:space="preserve">Broken down, 2025 normalized ROE (9.7%) is a 56.5% normalized net margin times an asset turnover of 0.097x and 1.77x accounting leverage. It is not the shareholder's return: the denominator is equity at appraised value, and each revaluation raises its book value without generating cash flow, because it is a non-cash fair-value change that does not enter FFO or dividends. We therefore forecast normalized ROE of 8–9%, rising only with leverage.</w:t>
            </w:r>
          </w:p>
          <w:p>
            <w:pPr>
              <w:keepNext/>
              <w:pBdr>
                <w:bottom w:val="single" w:color="E9004B" w:sz="8" w:space="1"/>
              </w:pBdr>
              <w:spacing w:after="50" w:before="90" w:line="228" w:lineRule="auto"/>
            </w:pPr>
            <w:r>
              <w:rPr>
                <w:rFonts w:ascii="Arial" w:cs="Arial" w:eastAsia="Arial" w:hAnsi="Arial"/>
                <w:b/>
                <w:bCs/>
                <w:color w:val="14284B"/>
                <w:sz w:val="16"/>
                <w:szCs w:val="16"/>
              </w:rPr>
              <w:t xml:space="preserve">Two-thirds of 2025 growth was bought; organic real growth is about 3%</w:t>
            </w:r>
          </w:p>
          <w:p>
            <w:pPr>
              <w:spacing w:after="60" w:before="0" w:line="228" w:lineRule="auto"/>
              <w:jc w:val="both"/>
            </w:pPr>
            <w:r>
              <w:rPr>
                <w:rFonts w:ascii="Arial" w:cs="Arial" w:eastAsia="Arial" w:hAnsi="Arial"/>
                <w:color w:val="1A1A1A"/>
                <w:sz w:val="16"/>
                <w:szCs w:val="16"/>
              </w:rPr>
              <w:t xml:space="preserve">Revenue rose 76% between 2022 and 2025, but 21.8pp of 2025's 32.2% came from perimeter: the Peruvian portfolio bought from Falabella, consolidated from 4 December 2024 (Appendix 3C). Ex-Peru, revenue grew 10.7% in 2025 and 7.1% in 1H26.</w:t>
            </w:r>
          </w:p>
          <w:p>
            <w:pPr>
              <w:spacing w:after="60" w:before="0" w:line="228" w:lineRule="auto"/>
              <w:jc w:val="both"/>
            </w:pPr>
            <w:r>
              <w:rPr>
                <w:rFonts w:ascii="Arial" w:cs="Arial" w:eastAsia="Arial" w:hAnsi="Arial"/>
                <w:color w:val="1A1A1A"/>
                <w:sz w:val="16"/>
                <w:szCs w:val="16"/>
              </w:rPr>
              <w:t xml:space="preserve">Once currency and inflation are removed, the 7.4% growth of 1H26 falls to ~3.0% real (Figure 3): Chile 2.8% (UF +3.1%), Peru 4.5% (occupancy 93.8%) and Colombia ~1% net of the 7.5% COP appreciation and 6.1% inflation.</w:t>
            </w:r>
          </w:p>
          <w:p>
            <w:pPr>
              <w:spacing w:after="60" w:before="0" w:line="228" w:lineRule="auto"/>
              <w:jc w:val="both"/>
            </w:pPr>
            <w:r>
              <w:rPr>
                <w:rFonts w:ascii="Arial" w:cs="Arial" w:eastAsia="Arial" w:hAnsi="Arial"/>
                <w:color w:val="1A1A1A"/>
                <w:sz w:val="16"/>
                <w:szCs w:val="16"/>
              </w:rPr>
              <w:t xml:space="preserve">In our reading, growth depends more on contracts than on sales: variable rent is 5.1% of 1H26 revenue and fell 1.1% while tenant sales rose 6.7%, because minimum rents (+5.5%) are outpacing sales (+3.7%). It is not a bond: 15.1% of GLA expires within two years and tenant solvency matters, and real growth converges on the 0.4–0.9% of the appraisal.</w:t>
            </w:r>
          </w:p>
          <w:p>
            <w:pPr>
              <w:keepNext/>
              <w:pBdr>
                <w:bottom w:val="single" w:color="E9004B" w:sz="8" w:space="1"/>
              </w:pBdr>
              <w:spacing w:after="50" w:before="90" w:line="228" w:lineRule="auto"/>
            </w:pPr>
            <w:r>
              <w:rPr>
                <w:rFonts w:ascii="Arial" w:cs="Arial" w:eastAsia="Arial" w:hAnsi="Arial"/>
                <w:b/>
                <w:bCs/>
                <w:color w:val="14284B"/>
                <w:sz w:val="16"/>
                <w:szCs w:val="16"/>
              </w:rPr>
              <w:t xml:space="preserve">Margin gains came from mix and cost recovery; further room looks limited</w:t>
            </w:r>
          </w:p>
          <w:p>
            <w:pPr>
              <w:spacing w:after="60" w:before="0" w:line="228" w:lineRule="auto"/>
              <w:jc w:val="both"/>
            </w:pPr>
            <w:r>
              <w:rPr>
                <w:rFonts w:ascii="Arial" w:cs="Arial" w:eastAsia="Arial" w:hAnsi="Arial"/>
                <w:color w:val="1A1A1A"/>
                <w:sz w:val="16"/>
                <w:szCs w:val="16"/>
              </w:rPr>
              <w:t xml:space="preserve">EBITDA margin rose from 76.2% in 2022 to 80.5% in 2025 for two reasons. Peru consolidates at an 83% segment margin, against 80% in Chile and 73% in Colombia. And Chile's margin gained 2.4pp on a higher recovery of common charges, presented net of cost (Note 2.20): real, but dependent on occupancy and tenant negotiations, so we do not extrapolate it.</w:t>
            </w:r>
          </w:p>
          <w:p>
            <w:pPr>
              <w:spacing w:after="60" w:before="0" w:line="228" w:lineRule="auto"/>
              <w:jc w:val="both"/>
            </w:pPr>
            <w:r>
              <w:rPr>
                <w:rFonts w:ascii="Arial" w:cs="Arial" w:eastAsia="Arial" w:hAnsi="Arial"/>
                <w:color w:val="1A1A1A"/>
                <w:sz w:val="16"/>
                <w:szCs w:val="16"/>
              </w:rPr>
              <w:t xml:space="preserve">Operating costs (cost of sales plus administration) were 20.1% of revenue in 2025 and include D&amp;A (0.55%): 20.1% − 0.55% = 19.5% = 1 − EBITDA margin (Appendix 3). If they were fixed, a 1% fall in revenue would cut EBITDA by 1.24% (1.1% if half were variable). In 1H26 EBITDA grew 7.4%, in line with revenue, and margin held at 79.7%. Administrative expense rose 18.1% on payroll (+18.9%: CEO transition and a full year of Peru), bad debts normalizing from a 2025 base flattered by recoveries, and a one-off Colombian wealth tax of CLP 1.7bn. Excluding the last two, 1H26 margin would be 80.4%.</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Removing fair-value gains and non-cash items turns CLP 1,441bn of profit into CLP 408bn of FFO (CLP bn)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p>
            <w:pPr>
              <w:spacing w:after="30" w:before="9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Two-thirds of 2025 growth was bought; in 1H26 currency and inflation explain more than half</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p>
            <w:pPr>
              <w:spacing w:after="30" w:before="9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Free cash flow covers dividends 1.5–2.6x even as capex rises (FY2025, CLP bn)</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Cash covers the dividend 2.6x before debt and 1.8x after repaying it</w:t>
            </w:r>
          </w:p>
          <w:p>
            <w:pPr>
              <w:spacing w:after="60" w:before="0" w:line="228" w:lineRule="auto"/>
              <w:jc w:val="both"/>
            </w:pPr>
            <w:r>
              <w:rPr>
                <w:rFonts w:ascii="Arial" w:cs="Arial" w:eastAsia="Arial" w:hAnsi="Arial"/>
                <w:color w:val="1A1A1A"/>
                <w:sz w:val="16"/>
                <w:szCs w:val="16"/>
              </w:rPr>
              <w:t xml:space="preserve">Operating cash flow rose from CLP 301bn in 2024 to CLP 441bn in 2025. Cash tax was only 15% of operating profit, sheltered by tax goodwill and loss carry-forwards (Note 13), and will rise toward the 27% statutory rate. After capex and net interest, free cash flow before debt was CLP 280bn, covering dividends 2.6x (Figure 4); 1.8x after repaying net debt (Appendix 2D).</w:t>
            </w:r>
          </w:p>
          <w:p>
            <w:pPr>
              <w:spacing w:after="60" w:before="0" w:line="228" w:lineRule="auto"/>
              <w:jc w:val="both"/>
            </w:pPr>
            <w:r>
              <w:rPr>
                <w:rFonts w:ascii="Arial" w:cs="Arial" w:eastAsia="Arial" w:hAnsi="Arial"/>
                <w:color w:val="1A1A1A"/>
                <w:sz w:val="16"/>
                <w:szCs w:val="16"/>
              </w:rPr>
              <w:t xml:space="preserve">The CLP 71.9bn (+38.6%) rise in 1H26 operating cash flow comes 78% from higher collections (partly December balances: receivable days from 66 to 50) and 15% from lower taxes paid; we do not extrapolate it.</w:t>
            </w:r>
          </w:p>
          <w:p>
            <w:pPr>
              <w:spacing w:after="60" w:before="0" w:line="228" w:lineRule="auto"/>
              <w:jc w:val="both"/>
            </w:pPr>
            <w:r>
              <w:rPr>
                <w:rFonts w:ascii="Arial" w:cs="Arial" w:eastAsia="Arial" w:hAnsi="Arial"/>
                <w:color w:val="1A1A1A"/>
                <w:sz w:val="16"/>
                <w:szCs w:val="16"/>
              </w:rPr>
              <w:t xml:space="preserve">The dividend policy pays out 40% of distributable profit with a one-year lag and the covenant (net debt/equity ≤ 2.0x; 0.26x at June) does not constrain it: retained cash was CLP 171.6bn in 2025. In the base case, FFO rises from CLP 428.5bn in 2026E to 512.6bn in 2031E and ordinary dividends from CLP 147.7bn to 176.5bn; the remaining cash, together with new debt, funds capex and the additional distributions (Appendix 5).</w:t>
            </w:r>
          </w:p>
          <w:p>
            <w:pPr>
              <w:spacing w:after="60" w:before="0" w:line="228" w:lineRule="auto"/>
              <w:jc w:val="both"/>
            </w:pPr>
            <w:r>
              <w:rPr>
                <w:rFonts w:ascii="Arial" w:cs="Arial" w:eastAsia="Arial" w:hAnsi="Arial"/>
                <w:color w:val="1A1A1A"/>
                <w:sz w:val="16"/>
                <w:szCs w:val="16"/>
              </w:rPr>
              <w:t xml:space="preserve">Capex is stepping up. Contractual investment commitments rose to CLP 78bn at June 2026 from CLP 18bn in December 2025, and 1H26 property capex was CLP 81bn (+176%). The base case funds the USD 579m of remaining dated pipeline over 2026–2028 (including USD 134m of other projects in Chile) and then keeps adding about 27,000 m² a year, the 2022–2025 organic pace: total capex settles near 16% of revenue, 5.5% maintenance and ~11% incremental (Figure 7).</w:t>
            </w:r>
          </w:p>
          <w:p>
            <w:pPr>
              <w:keepNext/>
              <w:pBdr>
                <w:bottom w:val="single" w:color="E9004B" w:sz="8" w:space="1"/>
              </w:pBdr>
              <w:spacing w:after="50" w:before="90" w:line="228" w:lineRule="auto"/>
            </w:pPr>
            <w:r>
              <w:rPr>
                <w:rFonts w:ascii="Arial" w:cs="Arial" w:eastAsia="Arial" w:hAnsi="Arial"/>
                <w:b/>
                <w:bCs/>
                <w:color w:val="14284B"/>
                <w:sz w:val="16"/>
                <w:szCs w:val="16"/>
              </w:rPr>
              <w:t xml:space="preserve">Cash-flow metrics earn the AAA; equity-based ratios flatter it</w:t>
            </w:r>
          </w:p>
          <w:p>
            <w:pPr>
              <w:spacing w:after="60" w:before="0" w:line="228" w:lineRule="auto"/>
              <w:jc w:val="both"/>
            </w:pPr>
            <w:r>
              <w:rPr>
                <w:rFonts w:ascii="Arial" w:cs="Arial" w:eastAsia="Arial" w:hAnsi="Arial"/>
                <w:color w:val="1A1A1A"/>
                <w:sz w:val="16"/>
                <w:szCs w:val="16"/>
              </w:rPr>
              <w:t xml:space="preserve">LTV fell from 26.9% to 18.8% in 2025, but 5.0pp of the 8.0pp drop came from revaluing the denominator; with property at 2024 value plus additions, LTV would have been 23.8% (Figure 5). Cash-flow metrics support Feller Rate's upgrade to AAA (25 September 2026), but of the fall in net debt/EBITDA from 3.78x to 2.36x, 0.75x is perimeter (Peru consolidated one month in 2024; pro forma ≥ 3.0x), 0.39x EBITDA growth and only 0.28x lower debt (Appendix 3B). EBITDA covers financial costs 8.4x.</w:t>
            </w:r>
          </w:p>
          <w:p>
            <w:pPr>
              <w:spacing w:after="60" w:before="0" w:line="228" w:lineRule="auto"/>
              <w:jc w:val="both"/>
            </w:pPr>
            <w:r>
              <w:rPr>
                <w:rFonts w:ascii="Arial" w:cs="Arial" w:eastAsia="Arial" w:hAnsi="Arial"/>
                <w:color w:val="1A1A1A"/>
                <w:sz w:val="16"/>
                <w:szCs w:val="16"/>
              </w:rPr>
              <w:t xml:space="preserve">Gross debt of CLP 1,633bn is 79% UF, 14% PEN and 7% COP, matching revenue currencies; 95% is long term, with a 6.6-year duration. The UF bonds carry a 3.36% real coupon (3.48% effective); with UF indexation the all-in nominal cost was about 7% in 2025. Maturities cluster in 2029, 2031 and 2033 (Figure 6); refinancing series S (1.32% effective) at the latest issue's 4.33% would add about CLP 4.9bn a year. At June 2026 the current ratio was 2.50x and cash covered current liabilities 1.71x.</w:t>
            </w:r>
          </w:p>
          <w:p>
            <w:pPr>
              <w:spacing w:after="60" w:before="0" w:line="228" w:lineRule="auto"/>
              <w:jc w:val="both"/>
            </w:pPr>
            <w:r>
              <w:rPr>
                <w:rFonts w:ascii="Arial" w:cs="Arial" w:eastAsia="Arial" w:hAnsi="Arial"/>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2). Against peers the balance sheet is conservative: LTV of 18.8% versus 42.9% at Parque Arauco and 16.3% at Cencosud Shopping, and net debt/EBITDA of 2.49x versus 5.68x and 2.11x (Appendix 6).</w:t>
            </w:r>
          </w:p>
          <w:p>
            <w:pPr>
              <w:spacing w:after="60" w:before="0" w:line="228" w:lineRule="auto"/>
              <w:jc w:val="both"/>
            </w:pPr>
            <w:r>
              <w:rPr>
                <w:rFonts w:ascii="Arial" w:cs="Arial" w:eastAsia="Arial" w:hAnsi="Arial"/>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1.7tn cumulatively over 2H26E–2031E (Appendix 5). At 3.5x the new AAA would likely come under pressure.</w:t>
            </w:r>
          </w:p>
          <w:p>
            <w:pPr>
              <w:keepNext/>
              <w:pBdr>
                <w:bottom w:val="single" w:color="E9004B" w:sz="8" w:space="1"/>
              </w:pBdr>
              <w:spacing w:after="50" w:before="90" w:line="228" w:lineRule="auto"/>
            </w:pPr>
            <w:r>
              <w:rPr>
                <w:rFonts w:ascii="Arial" w:cs="Arial" w:eastAsia="Arial" w:hAnsi="Arial"/>
                <w:b/>
                <w:bCs/>
                <w:color w:val="14284B"/>
                <w:sz w:val="16"/>
                <w:szCs w:val="16"/>
              </w:rPr>
              <w:t xml:space="preserve">The forecast carries forward what history supports, including the pace of expansion</w:t>
            </w:r>
          </w:p>
          <w:p>
            <w:pPr>
              <w:spacing w:after="60" w:before="0" w:line="228" w:lineRule="auto"/>
              <w:jc w:val="both"/>
            </w:pPr>
            <w:r>
              <w:rPr>
                <w:rFonts w:ascii="Arial" w:cs="Arial" w:eastAsia="Arial" w:hAnsi="Arial"/>
                <w:color w:val="1A1A1A"/>
                <w:sz w:val="16"/>
                <w:szCs w:val="16"/>
              </w:rPr>
              <w:t xml:space="preserve">Revenue grows 7.7% in 2026E and 5.0% in 2031E (2026E–2031E CAGR 6.9%), as real same-store growth converges to the appraisal midpoints, 170,200 m² of dated pipeline matures (including 46,500 m² of other projects in Chile opening in 2028) and, from 2029E, about 27,000 m² a year opens at the historical pace (Figure 7); 2026E revenue sits 0.3% above the BEst consensus of 13 analysts (Appendix 3C). EBITDA margin stays at 79.7–79.8%, below the 2025 peak. Cash tax (Chile's rate) normalizes from 16.8% to 27% by 2030E and financial costs rise with leverage, so FFO margin slides from 60.9% to 52.2%. Working capital is held at 15.6% of revenue, the December 2025 level (Appendix 1). New GLA yields 7.3% on cost, a 5.3% real return after tax against a 7.2% real WACC: expansion adds revenue but not value.</w:t>
            </w:r>
          </w:p>
          <w:p>
            <w:pPr>
              <w:keepNext/>
              <w:pBdr>
                <w:bottom w:val="single" w:color="E9004B" w:sz="8" w:space="1"/>
              </w:pBdr>
              <w:spacing w:after="50" w:before="90" w:line="228" w:lineRule="auto"/>
            </w:pPr>
            <w:r>
              <w:rPr>
                <w:rFonts w:ascii="Arial" w:cs="Arial" w:eastAsia="Arial" w:hAnsi="Arial"/>
                <w:b/>
                <w:bCs/>
                <w:color w:val="14284B"/>
                <w:sz w:val="16"/>
                <w:szCs w:val="16"/>
              </w:rPr>
              <w:t xml:space="preserve">What this means for valuation</w:t>
            </w:r>
          </w:p>
          <w:p>
            <w:pPr>
              <w:spacing w:after="60" w:before="0" w:line="228" w:lineRule="auto"/>
              <w:jc w:val="both"/>
            </w:pPr>
            <w:r>
              <w:rPr>
                <w:rFonts w:ascii="Arial" w:cs="Arial" w:eastAsia="Arial" w:hAnsi="Arial"/>
                <w:color w:val="1A1A1A"/>
                <w:sz w:val="16"/>
                <w:szCs w:val="16"/>
              </w:rPr>
              <w:t xml:space="preserve">The analysis leaves three conclusions for the model. First, the right earnings base is cash: we use the company's EBITDA, which removes revaluation once (Appendix 4), and distributable profit as the anchor, not the CLP 1,431bn accounting profit. Second, business quality is not in doubt: with the same adjustment for all three, Mallplaza earns the highest normalized ROE of its local peers (10.0% against 7.8% at Parque Arauco and 8.0% at Cencosud Shopping) with an LTV of 18.8% (Appendix 6).</w:t>
            </w:r>
          </w:p>
          <w:p>
            <w:pPr>
              <w:spacing w:after="60" w:before="0" w:line="228" w:lineRule="auto"/>
              <w:jc w:val="both"/>
            </w:pPr>
            <w:r>
              <w:rPr>
                <w:rFonts w:ascii="Arial" w:cs="Arial" w:eastAsia="Arial" w:hAnsi="Arial"/>
                <w:color w:val="1A1A1A"/>
                <w:sz w:val="16"/>
                <w:szCs w:val="16"/>
              </w:rPr>
              <w:t xml:space="preserve">Third, existing capital barely earns its cost. 2025 ROIC, with NOPAT at 27% over capital at appraised value, was 7.3%, in line with our 7.2% real WACC; the comparison is with the real rate because that ROIC excludes revaluation (Appendix 3). New capital, by contrast, earns less than its cost (RONIC of 5.3%).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Two-thirds of the 2025 fall in LTV is revaluation, not deleveraging</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p>
            <w:pPr>
              <w:spacing w:after="30" w:before="9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Refinancing risk sits in 2029, 2031 and 2033, not in the near term</w:t>
            </w:r>
          </w:p>
          <w:p>
            <w:pPr>
              <w:spacing w:after="20" w:before="0" w:line="240" w:lineRule="auto"/>
            </w:pPr>
            <w:r>
              <w:drawing>
                <wp:inline distT="0" distB="0" distL="0" distR="0">
                  <wp:extent cx="2257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097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p>
            <w:pPr>
              <w:spacing w:after="30" w:before="9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After the pipeline, incremental capex for continuous expansion keeps total capex near CLP 150bn a year; net debt/EBITDA rises to 3.5x</w:t>
            </w:r>
          </w:p>
          <w:p>
            <w:pPr>
              <w:spacing w:after="20" w:before="0" w:line="240" w:lineRule="auto"/>
            </w:pPr>
            <w:r>
              <w:drawing>
                <wp:inline distT="0" distB="0" distL="0" distR="0">
                  <wp:extent cx="2257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6955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2026E includes CLP 84.2bn of 1H26 (no breakdown by type). Maintenance + IT = 5.5% of revenue; incremental = pipeline under way + continuous expansion. 2024A: one month of Peru EBITDA. Source: Plaza S.A. financial statements (CMF); 2Q26 results release; model v4 (Appendix [B]).</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cf5efedec970dddabf7ad7f0397fa946dde7af.png"/><Relationship Id="rId10" Type="http://schemas.openxmlformats.org/officeDocument/2006/relationships/image" Target="media/67d3af205c0720abae927a295402b8173067a71d.png"/><Relationship Id="rId11" Type="http://schemas.openxmlformats.org/officeDocument/2006/relationships/image" Target="media/0ecdedf336d9450fef0f4340e7d2f3445bf5d5ea.png"/><Relationship Id="rId12" Type="http://schemas.openxmlformats.org/officeDocument/2006/relationships/image" Target="media/0e8de6046ea8cf465c51ece1e2db1d0fdb7f5b9e.png"/><Relationship Id="rId13" Type="http://schemas.openxmlformats.org/officeDocument/2006/relationships/image" Target="media/fbaa45cc822c3cf6d5ceb7547cdd01441f6bb8f4.png"/><Relationship Id="rId14" Type="http://schemas.openxmlformats.org/officeDocument/2006/relationships/image" Target="media/dc8b801e649da54e7f89f24358a854500a6aa7a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2026-10-17T22:32:22.488Z</dcterms:created>
  <dcterms:modified xsi:type="dcterms:W3CDTF">2026-10-17T22:32:22.488Z</dcterms:modified>
</cp:coreProperties>
</file>

<file path=docProps/custom.xml><?xml version="1.0" encoding="utf-8"?>
<Properties xmlns="http://schemas.openxmlformats.org/officeDocument/2006/custom-properties" xmlns:vt="http://schemas.openxmlformats.org/officeDocument/2006/docPropsVTypes"/>
</file>