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[B]: DISCOUNTED CASH FLOW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FCFF in nominal CLP from 30-Jun-26, mid-period convention and each period's WACC (Appendix [Z]). Capex is split into maintenance and IT (5.5% of revenue) and incremental capex (pipeline under way and continuous expansion). Terminal value uses 2032E FCFF with nominal g of 3.0% (0% real: terminal incremental capex is zero because RONIC is below the real WACC) and a terminal WACC of 10.41%, and includes 108,301 m² of GLA maturing after 2031. It explains 78% of EV. Sections D and E break down each line and prove it ties to the DCF.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FIRM FREE CASH FLOW BY PERIOD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1070"/>
        <w:gridCol w:w="1070"/>
        <w:gridCol w:w="1070"/>
        <w:gridCol w:w="1070"/>
        <w:gridCol w:w="1070"/>
        <w:gridCol w:w="1070"/>
        <w:gridCol w:w="108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826,662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886,792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935,616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982,334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1,030,197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659,160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707,354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746,336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783,607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821,950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margin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239,763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490,829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512,875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532,847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540,019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566,987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594,732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5,817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6,240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6,583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6,912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7,249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(19,360)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(42,195)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(45,466)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(48,592)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(50,783)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(52,766)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(56,661)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pipeline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(130,546)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(247,924)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(155,398)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−0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continuous expansion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(46,268)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(95,313)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(98,172)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(101,117)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(104,151)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Working capital investment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(3,908)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(9,859)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(9,282)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(9,383)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(7,619)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(7,290)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(4,682)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88,514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149,981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213,233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382,940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387,084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409,693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540,638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of the period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Discount factor (mid-period)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0.9753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0.9048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0.8188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0.7412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0.6711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0.6078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PV of FCFF / terminal value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86,325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135,701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174,604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283,847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259,780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248,997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4,217,777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FROM ENTERPRISE VALUE TO VALUE PER SHARE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Item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MM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explicit FCFF (2H26E–2031E)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1,189,255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terminal value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4,217,777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1,926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Enterprise value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5,407,032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2,469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Net financial debt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(1,285,740)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(587)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Minorities (book)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(50,841)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(23)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Equity value / per share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4,070,451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1,859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DCF VALUE SENSITIVITY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4.0%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2,288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2,176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2,106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1,930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1,912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1,796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1,722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1,620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1,544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1,590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1,533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1,467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1,391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Terminal value at 31-Dec-31: CLP 7,292,232 MM (implied terminal cap rate 11.3%; implied LTM EV/EBITDA of EV 9.9x). Bloomberg net debt (CLP 1,311,569 MM, used in multiples) differs from net financial debt by IFRS 16 lease liabilities (CLP 25,828 MM at Jun-26). Source: model v4, DCF and Sensibilidad sheets; 2,190 MM shares.</w:t>
      </w:r>
    </w:p>
    <w:p>
      <w:pPr>
        <w:pBdr>
          <w:bottom w:val="single" w:color="E9004B" w:sz="8" w:space="1"/>
        </w:pBdr>
        <w:spacing w:after="50" w:before="10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BREAKDOWN OF THE DCF LINES (CLP MM UNLESS STATED)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1070"/>
        <w:gridCol w:w="1070"/>
        <w:gridCol w:w="1070"/>
        <w:gridCol w:w="1070"/>
        <w:gridCol w:w="1070"/>
        <w:gridCol w:w="1070"/>
        <w:gridCol w:w="108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Revenue: base + expansion (D1)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(operating engine)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826,662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883,482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923,322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959,374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Continuous expansion (cohorts from 2029)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3,309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12,294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22,960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/ Peru / Colombia, calendar year (CLP bn)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498.4 / 131.3 / 75.2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533.9 / 145.2 / 88.1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577.4 / 159.8 / 89.4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619.6 / 171.6 / 92.2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647.9 / 178.6 / 96.8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672.6 / 184.9 / 101.8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Bridge to terminal: + maturation of 108,301 m²; × (1 + 3.0%)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40,818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30,006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EBITDA and D&amp;A (D2–D3)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659,160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704,685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736,420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765,088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Expansion EBITDA (margin 80.7%)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9,916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18,519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Chile / Peru / Colombia, calendar year (80/82/74%)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398.7 / 107.7 / 55.7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427.1 / 119.0 / 65.2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461.9 / 131.1 / 66.2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495.7 / 140.7 / 68.2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518.3 / 146.5 / 71.7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538.1 / 151.6 / 75.4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D&amp;A = 0.704% × total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5,817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6,240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6,583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6,912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7,249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Tax, capex and working capital (D4–D6)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288,177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605,962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653,344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701,114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739,752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776,695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814,701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(−) Tax = EBIT × rate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−48,414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−115,133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−140,469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−168,267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−199,733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−209,708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−219,969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 (a): pipeline, USD MM × USDCLP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140.4 × 930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268.7 × 923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169.9 × 915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New GLA opening in the year (m²; pipeline and expansion)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8,900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72,950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88,350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capex /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41.1%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43.8%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16.5%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16.2%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16.0%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 /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38.3%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30.3%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10.6%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Δ revenue for working capital (× 15.6%)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25,044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63,180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59,482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60,130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48,824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46,718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30,006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Country revenue from Appendix 13 (calendar year; 0.1 bn precision). 1H26 capex has no breakdown by type: the release only gives the LTM breakdown (USD 132.5m: maintenance 40.0; IT and other 10.2; brownfield 52.5; reconversion 29.1; greenfield 0.7). Yield on cost 7.3%; real RONIC 5.3% vs real WACC 7.2%.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TIE-OUT CHECK (CLP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925"/>
              <w:gridCol w:w="1300"/>
            </w:tblGrid>
            <w:tr>
              <w:trPr>
                <w:tblHeader/>
              </w:trP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Line: breakdown − DCF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Max. |diff.| 2H26E–Terminal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Total revenue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Total EBITDA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Operating tax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NOPAT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Total capex (maintenance + incremental)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Working capital investment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FCFF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FCFF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Terminal value / PV of TV / EV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Value per share (CLP)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READING</w:t>
            </w:r>
          </w:p>
          <w:p>
            <w:pPr>
              <w:shd w:fill="EEF1F6" w:color="auto" w:val="clear"/>
              <w:spacing w:after="4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Maximum absolute difference across all lines and periods: 0. The breakdown only reorders the DCF: EV CLP 5,407,032 MM, DCF value CLP 1,859 and target price CLP 2,077. Incremental capex (pipeline + expansion) weighs 38%–36% of revenue in 2H26E–2027E and ~11% from 2029E; maintenance, 5.5%. The terminal only funds maintenance: growing at a real RONIC of 5.3% under a real WACC of 7.2% would subtract value (Figure 30).</w:t>
            </w:r>
          </w:p>
          <w:p>
            <w:pPr>
              <w:shd w:fill="EEF1F6" w:color="auto" w:val="clear"/>
              <w:spacing w:after="4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Terminal value starts from 2031E revenue (982,334), adds the maturation of the expansion already funded (+40,818) and indexes for inflation (+30,006) to 1,030,197; 2032E FCFF = NOPAT 594,732 + D&amp;A 7,249 − maintenance 56,661 − working capital 4,682 = 540,638.</w:t>
            </w:r>
          </w:p>
        </w:tc>
      </w:tr>
    </w:tbl>
    <w:p>
      <w:pPr>
        <w:pBdr>
          <w:bottom w:val="single" w:color="14284B" w:sz="18" w:space="2"/>
        </w:pBdr>
        <w:spacing w:after="80" w:before="20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[C]: PROJECTION ASSUMPTIONS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The base forecast follows the team's operating engine with the full dated pipeline (170,200 m², announced pipeline through 2028, including 46,500 m² of other projects in Chile); from 2029 a continuous expansion at the historical opening pace is added. 2026E revenue is calendar-year; the 2H26E period nets out the 1H26 actual (CLP 339,530 MM of revenue).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REVENUE, CAPEX AND WORKING CAPITAL PROJECTION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(calendar year)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703,999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826,662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883,482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923,322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959,374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 growth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 expansion revenue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3,309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12,294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22,960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 margin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 (5.5% of revenue)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45,466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48,592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50,783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52,766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projects under way (USD MM)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140.4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268.7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169.9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Average USDCLP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projects under way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130,546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247,924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155,398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continuous expansion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95,313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incremental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130,546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201,656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60,085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Total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149,906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336,388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296,177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146,764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151,900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156,916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New GLA opening in the year (m²)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8,900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72,950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88,350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cost per m² (CLP MM, CPI)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Working capital investment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9,282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9,383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7,619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CONTINUOUS EXPANSION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New GLA per year from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27,075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Base: organic average 2022, 2023 and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30,458 / 38,618 / 12,150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under way (2Q26 Release; 2025 Annual Report)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613.2 MM / 170,200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 per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3,603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disbursement (from 2027E)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in t−2 / 50% en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Revenue ramp (year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Chile / Peru mix;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67.2% / 32.8%;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real after-tax RONIC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7.3% / 5.3%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OPERATIONS, CAPITAL AND TERMINAL VALUE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2Q26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80.5%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5.5% of revenue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Terminal incremental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 (real g 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revenue (LTM 2Q26)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0.704%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Cash tax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16.8%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Net working capital / revenue (Dec-25)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Receivables / prepaid rents (Dec-25, CLP MM)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122,370 / 20,247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Terminal nominal g (real)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3.0% (0.0%)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Target net debt/EBITDA; real Kd per turn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3.5x in 2031; +25 bp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on distributable profit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pBdr>
          <w:bottom w:val="single" w:color="E9004B" w:sz="8" w:space="1"/>
        </w:pBdr>
        <w:spacing w:after="50" w:before="10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DEBT SCHEDULE (CLP MM; DEUDA SHEET)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Opening net debt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1,285,740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1,382,590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1,632,638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1,896,981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2,182,363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2,457,403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(−) FCFF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88,514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149,981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213,233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382,940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387,084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409,693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Net financial cost, after tax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16,474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34,783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40,471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51,959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59,437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UF indexation, after tax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12,676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26,542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30,374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34,168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37,757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42,516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Ordinary dividends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60,108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152,016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171,061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175,311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178,543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176,458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Additional distribution (buyback / special dividend)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96,106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186,689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235,670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412,570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393,865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416,502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Closing net debt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1,382,590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1,632,638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1,896,981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2,182,363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2,457,403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2,742,623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Closing net debt / EBITDA (x)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Closing gross debt (constant cash 347,621)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1,730,211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1,980,259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2,244,602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2,529,984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2,805,024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3,090,244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Net debt(t) = net debt(t−1) − FCFF + financial cost and UF indexation after tax + ordinary dividends + additional distribution, which takes net debt to the target path (2.36x → 3.5x). Financial cost: 3.08% of net debt + 25 bp per turn above 2.36x; UF indexation on 79% of debt at 3.0%. Bond maturities: Figure 6. Source: model v4 (2Q26 Release; Dec-25 financials; Exhibits v7).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[E]: COMPARABLE MULTIPLES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We use the same peer set as the WACC beta. LTM EV/EBITDA is the main method (neutral to leverage and to IAS 40 revaluation); the multiple weights the Chilean median 70% and the common-set median 30%. P/E and P/BV mix fair-value and cost-based peers: reference only. Price at 30-Sep-26; Bloomberg net debt and FX at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PEERS (CLP MM; MULTIPLES IN TIMES)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EV/EBITDA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NTM EV/EBITDA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EV/EBIT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P/E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7,785,450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9,147,860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544,935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3,440,408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5,429,487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294,411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3,710,183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4,569,181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350,561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2,907,890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3,796,907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421,296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2,656,188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3,895,017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388,839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1,381,190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1,763,277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1,140,416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1,789,191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145,686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(excluded)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2,383,999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3,157,944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277,625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Common-set median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median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VALUE BY MULTIPLE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Weighted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Metric CLP MM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LTM EV/EBITDA (main)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544,935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NTM EV/EBITDA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617,130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EV/EBIT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540,373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P/E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1,258,053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8,644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4,820,898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SENSITIVITY TO THE WEIGHTING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Chile weight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Mult. value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 price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+3.3%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−2.2%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−4.4%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11.1x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−7.7%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Bridge: 14.36x × LTM EBITDA CLP 544,935 MM = EV 7,825,944 − Bloomberg net debt 1,311,569 − minorities 50,841 = CLP 2,951 per share (2,190 MM shares). Fibra Danhos is excluded because of its FIBRA regime and because it has no beta in the WACC; IRSA reports under IAS 29. Source: Bloomberg; model v4, Comparables and Precio_Objetivo sheets; Figuras_Valuacion, V7.</w:t>
      </w:r>
    </w:p>
    <w:p>
      <w:pPr>
        <w:pBdr>
          <w:bottom w:val="single" w:color="14284B" w:sz="18" w:space="2"/>
        </w:pBdr>
        <w:spacing w:after="80" w:before="20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[F]: SCENARIOS AND ROBUSTNESS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No scenario or alternative method reaches the CLP 3,555 price. Scenarios are computed with the DCF replica (it reproduces the base value exactly) and the target price keeps the 80% DCF weight and the multiples value of CLP 2,951. Bear is everything going wrong at once; bull, everything going right; both use the same levers as the Risks tornado. Probability weighting is a cross-check: the target price remains the base-case one.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00"/>
        <w:gridCol w:w="5666"/>
        <w:gridCol w:w="600"/>
        <w:gridCol w:w="1100"/>
        <w:gridCol w:w="1200"/>
        <w:gridCol w:w="1000"/>
      </w:tblGrid>
      <w:tr>
        <w:trPr>
          <w:tblHeader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Scenario</w:t>
            </w:r>
          </w:p>
        </w:tc>
        <w:tc>
          <w:tcPr>
            <w:tcW w:type="dxa" w:w="5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Assumptions (all at once)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Prob.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Target price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price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Everything goes wrong: nominal WACC +100 bp in all periods; EBITDA margin 75.8%, occupancy 95.1%, same-store rent 2027–28 3.7%, tenant sales 3.7%, 2029–31 real growth at the Note 11 floor, visitors 5.6%, maintenance capex 6.6%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1,190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1,542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−56.6%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Central: model v4; nominal WACC 10.54% → 10.41%; g 3.0%; margin 79.7%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2,077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−41.6%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Everything goes right: nominal WACC −100 bp; margin 81.3%, occupancy 96.6%, same-store rent 9.4%, tenant sales 9.9%, real growth at the Note 11 ceiling, visitors 17.3%, maintenance capex 4.8%; cash tax capped at 23%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2,915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−18.0%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Weighted</w:t>
            </w:r>
          </w:p>
        </w:tc>
        <w:tc>
          <w:tcPr>
            <w:tcW w:type="dxa" w:w="5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 / 50 / 25 (team assumption, to be validated)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1,953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2,153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−39.4%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Appraisers</w:t>
            </w:r>
          </w:p>
        </w:tc>
        <w:tc>
          <w:tcPr>
            <w:tcW w:type="dxa" w:w="5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8.72% (5.55% real, Note 11) in all periods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2,734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−23.1%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ALTERNATIVE METHODS AND ASSUMPTIONS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Test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 price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11.11%): unlevered value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1,630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tax shields of debt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per share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1,895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2,106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−40.8%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Peso-bond Rf 5.43% (WACC −107 bp)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2,323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2,449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−31.1%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constant WACC 10.37%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1,883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2,096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−41.0%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implied by the price: 7.60%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DEBT TARGET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Net debt/EBITDA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bp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2.36x (current)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1,820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1,820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1,820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1,851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1,843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1,835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1,874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1,844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1,897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1,849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EFFECT OF EACH LEVER ALONE ON THE DCF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425"/>
              <w:gridCol w:w="900"/>
              <w:gridCol w:w="900"/>
            </w:tblGrid>
            <w:tr>
              <w:trPr>
                <w:tblHeader/>
              </w:trP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Lever (tornado extremes)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Bear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Bull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EBITDA margin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−190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+28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Occupancy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+25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Same-store rent 2027–28 (price)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−76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+183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Real rent growth 2029–31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−47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+26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+37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Visitor traffic 2027–28 (parking)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+46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Tenant sales 2027–28 (variable rent)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+16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Nominal WACC ±100 bp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−326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+430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23% tax (bull only)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+136</w:t>
                  </w:r>
                </w:p>
              </w:tc>
            </w:tr>
          </w:tbl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D. SENSITIVITIES REQUESTED BY THE REVIEW (OUTSIDE THE BASE CASE)</w:t>
            </w:r>
          </w:p>
          <w:tbl>
            <w:tblPr>
              <w:tblW w:type="dxa" w:w="49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325"/>
              <w:gridCol w:w="600"/>
              <w:gridCol w:w="600"/>
              <w:gridCol w:w="700"/>
              <w:gridCol w:w="700"/>
            </w:tblGrid>
            <w:tr>
              <w:trPr>
                <w:tblHeader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Sensitivity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DCF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 price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Tax by jurisdiction: Peru 29.5%, Colombia 35% (weighted 28.3% vs 27%)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1,807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−52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2,036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−42.7%</w:t>
                  </w:r>
                </w:p>
              </w:tc>
            </w:tr>
            <w:t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at the 1H26 run-rate (0.88% vs 0.704% of revenue)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1,861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2,079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−41.5%</w:t>
                  </w:r>
                </w:p>
              </w:tc>
            </w:tr>
            <w:t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Gran Plaza included: USD 376m at a 9.4% cap rate (order of magnitude)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1,848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−11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2,069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−41.8%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bull: every lever at the historical minimum/maximum of the Risks tornado (4Q23 and 3Q25 earnings releases for margin; Note 11 for long-run real growth) in all years; the bull does not recompute the WACC tax shield. Section D: each year's rate scaled by the EBITDA mix by country (Chile ~70%, Peru ~20%, Colombia ~10%; PwC Tax Summaries, Peru reviewed 13-Jul-26, Colombia 21-Jul-26); Gran Plaza at our implied cap rate (10.1%) − price paid, applying an EBITDA cap rate to an NOI. None changes the recommendation. Source: DCF v4 replica (escenarios_dcf.py); model v4, APV, Sensibilidad (table 2, static) and DCF sheets; Figuras_Valuacion, WACC_Construccion and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latest UF bond coupon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/ market cap (current structure, CLP MM)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 (thousands)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(betas), Tasa_WACC.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replica matches the WACC sheet of model v4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2,323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2,449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2,449,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DCF v4 replica with the WACC shifted in every period.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87ead589840fa585f367b9fb74310fee03f7d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2026-10-17T22:36:19.184Z</dcterms:created>
  <dcterms:modified xsi:type="dcterms:W3CDTF">2026-10-17T22:36:19.184Z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