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ageBreakBefore/>
        <w:pBdr>
          <w:bottom w:val="single" w:color="14284B" w:sz="18" w:space="2"/>
        </w:pBdr>
        <w:spacing w:after="80" w:before="0"/>
      </w:pPr>
      <w:r>
        <w:rPr>
          <w:rFonts w:ascii="Arial" w:cs="Arial" w:eastAsia="Arial" w:hAnsi="Arial"/>
          <w:b/>
          <w:bCs/>
          <w:color w:val="14284B"/>
          <w:sz w:val="30"/>
          <w:szCs w:val="30"/>
        </w:rPr>
        <w:t xml:space="preserve">ANEXO [B]: FLUJO DE CAJA DESCONTADO</w:t>
      </w:r>
    </w:p>
    <w:p>
      <w:pPr>
        <w:shd w:fill="EEF1F6" w:color="auto" w:val="clear"/>
        <w:spacing w:after="40" w:line="216" w:lineRule="auto"/>
        <w:jc w:val="both"/>
      </w:pPr>
      <w:r>
        <w:rPr>
          <w:rFonts w:ascii="Arial" w:cs="Arial" w:eastAsia="Arial" w:hAnsi="Arial"/>
          <w:color w:val="1A1A1A"/>
          <w:sz w:val="14"/>
          <w:szCs w:val="14"/>
        </w:rPr>
        <w:t xml:space="preserve">FCFF en CLP nominales desde el 30-jun-26, con convención de mitad de período y la WACC de cada período (Anexo [Z]). El capex se separa en mantención y TI (5,5% de los ingresos) y capex incremental (pipeline en curso y expansión continua). El valor terminal usa el FCFF 2032E con g de 3,0% nominal (0% real: el capex incremental terminal es cero porque el RONIC queda bajo la WACC real) y la WACC terminal de 10,41%, e incluye 108.301 m² de GLA que maduran después de 2031. Explica el 78% del EV. Las secciones D y E desglosan cada línea y prueban que cuadra con el DCF.</w:t>
      </w:r>
    </w:p>
    <w:p>
      <w:pPr>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totales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886.792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935.616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982.334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1.030.197</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707.354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746.336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783.607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821.950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239.763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490.829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512.875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532.847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540.019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566.987</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594.732</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D&amp;A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(45.466)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(48.592)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(52.766)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(56.661)</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pipeline en curso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(130.546)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(247.924)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(4.682)</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FCFF</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88.514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149.981</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213.233</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382.940</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387.084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409.693</w:t>
            </w:r>
          </w:p>
        </w:tc>
        <w:tc>
          <w:tcPr>
            <w:tcW w:type="dxa" w:w="10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540.638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del período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0,9753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0,9048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0,8188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0,7412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0,6711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0,6078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86.325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135.701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174.604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283.847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259.780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248.997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4.217.777</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1.189.255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4.217.777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1.926</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5.407.032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2.469</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4.070.451</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2.288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2.176</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2.106</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2.058</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1.912</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1.796</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1.722</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1.741</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1.685</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1.620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1.544</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1.590</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1.533</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1.467</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1.391</w:t>
                  </w:r>
                </w:p>
              </w:tc>
            </w:tr>
          </w:tbl>
          <w:p/>
        </w:tc>
      </w:tr>
    </w:tbl>
    <w:p>
      <w:pPr>
        <w:spacing w:after="0" w:before="10" w:line="216" w:lineRule="auto"/>
      </w:pPr>
      <w:r>
        <w:rPr>
          <w:rFonts w:ascii="Arial" w:cs="Arial" w:eastAsia="Arial" w:hAnsi="Arial"/>
          <w:color w:val="5F5F5F"/>
          <w:sz w:val="11"/>
          <w:szCs w:val="11"/>
        </w:rPr>
        <w:t xml:space="preserve">Valor terminal al 31-dic-31: CLP 7.292.232 MM (cap rate implícito del VT 11,3%; EV/EBITDA UDM implícito del EV 9,9x). La deuda neta de Bloomberg (CLP 1.311.569 MM, usada en múltiplos) difiere de la DFN en los pasivos por arrendamiento NIIF 16 (CLP 25.828 MM a jun-26). Fuente: modelo v4, hojas DCF y Sensibilidad; 2.190 MM de acciones.</w:t>
      </w:r>
    </w:p>
    <w:p>
      <w:pPr>
        <w:pBdr>
          <w:bottom w:val="single" w:color="E9004B" w:sz="8" w:space="1"/>
        </w:pBdr>
        <w:spacing w:after="50" w:before="100"/>
      </w:pPr>
      <w:r>
        <w:rPr>
          <w:rFonts w:ascii="Arial" w:cs="Arial" w:eastAsia="Arial" w:hAnsi="Arial"/>
          <w:b/>
          <w:bCs/>
          <w:color w:val="14284B"/>
          <w:sz w:val="16"/>
          <w:szCs w:val="16"/>
        </w:rPr>
        <w:t xml:space="preserve">D. DESGLOSE DE LAS LÍNEAS DEL DCF (CLP MM SALVO INDICACIÓN)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Ingresos: base + expansión (D1)</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base (motor operativo)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923.322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959.374</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Expansión continua (cohortes desde 2029)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3.309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12.294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22.960</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 / Perú / Colombia, año calendario (CLP mil MM)</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498,4 / 131,3 / 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533,9 / 145,2 / 88,1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577,4 / 159,8 / 89,4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619,6 / 171,6 / 92,2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647,9 / 178,6 / 96,8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672,6 / 184,9 / 101,8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Puente al terminal: + maduración 108.301 m²; × (1 + 3,0%)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40.818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30.006</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EBITDA y D&amp;A (D2–D3)</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base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704.685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736.420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765.088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EBITDA de la expansión (margen 80,7%)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9.916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18.519</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Chile / Perú / Colombia, año calendario (80/82/74%)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398,7 / 107,7 / 55,7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427,1 / 119,0 / 65,2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461,9 / 131,1 / 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495,7 / 140,7 / 68,2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518,3 / 146,5 / 71,7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538,1 / 151,6 / 75,4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0,704% × ingresos totales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Impuesto, capex y capital de trabajo (D4–D6)</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288.177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605.962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653.344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701.114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739.752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776.695</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814.701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Impuesto = EBIT × tasa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−48.414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−115.133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−168.267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−199.733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−209.708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−219.969</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(a): pipeline, USD MM × USDCLP</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140,4 × 930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268,7 × 923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169,9 × 915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que abre en el año (m²; pipeline y expansión)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8.900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total / ingresos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43,8%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 ingresos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Δ ingresos para capital de trabajo (× 15,6%)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63.180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59.482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60.130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48.824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46.718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30.006</w:t>
            </w:r>
          </w:p>
        </w:tc>
      </w:tr>
    </w:tbl>
    <w:p>
      <w:pPr>
        <w:spacing w:after="0" w:before="10" w:line="216" w:lineRule="auto"/>
      </w:pPr>
      <w:r>
        <w:rPr>
          <w:rFonts w:ascii="Arial" w:cs="Arial" w:eastAsia="Arial" w:hAnsi="Arial"/>
          <w:color w:val="5F5F5F"/>
          <w:sz w:val="11"/>
          <w:szCs w:val="11"/>
        </w:rPr>
        <w:t xml:space="preserve">Ingresos por país del Anexo 13 (año calendario; precisión 0,1 mil MM). Capex 1S26 sin apertura por tipo: el release solo da la apertura UDM (USD 132,5 MM: mantención 40,0; TI y otros 10,2; brownfield 52,5; reconversión 29,1; greenfield 0,7). Yield on cost 7,3%; RONIC real 5,3% vs WACC real 7,2%.</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E. CONTROL DE CUADRATURA (CLP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925"/>
              <w:gridCol w:w="1300"/>
            </w:tblGrid>
            <w:tr>
              <w:trPr>
                <w:tblHeader/>
              </w:trPr>
              <w:tc>
                <w:tcPr>
                  <w:tcW w:type="dxa" w:w="3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Línea: desglose − DCF</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Máx. |dif.| 2S26E–Terminal</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totales</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total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operacional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total (mantención + incremental)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FCFF</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terminal / VP del VT / EV</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por acción (CLP)</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LECTURA</w:t>
            </w:r>
          </w:p>
          <w:p>
            <w:pPr>
              <w:shd w:fill="EEF1F6" w:color="auto" w:val="clear"/>
              <w:spacing w:after="40" w:line="216" w:lineRule="auto"/>
              <w:jc w:val="both"/>
            </w:pPr>
            <w:r>
              <w:rPr>
                <w:rFonts w:ascii="Arial" w:cs="Arial" w:eastAsia="Arial" w:hAnsi="Arial"/>
                <w:color w:val="1A1A1A"/>
                <w:sz w:val="14"/>
                <w:szCs w:val="14"/>
              </w:rPr>
              <w:t xml:space="preserve">Máxima diferencia absoluta en todas las líneas y períodos: 0. El desglose solo reordena el DCF: EV CLP 5.407.032 MM, valor DCF CLP 1.859 y precio objetivo CLP 2.077. El capex incremental (pipeline + expansión) pesa 38%–36% de los ingresos en 2S26E–2027E y ~11% desde 2029E; la mantención, 5,5%. El terminal solo financia mantención: crecer con un RONIC real de 5,3% bajo una WACC real de 7,2% restaría valor (Figura 30).</w:t>
            </w:r>
          </w:p>
          <w:p>
            <w:pPr>
              <w:shd w:fill="EEF1F6" w:color="auto" w:val="clear"/>
              <w:spacing w:after="40" w:line="216" w:lineRule="auto"/>
              <w:jc w:val="both"/>
            </w:pPr>
            <w:r>
              <w:rPr>
                <w:rFonts w:ascii="Arial" w:cs="Arial" w:eastAsia="Arial" w:hAnsi="Arial"/>
                <w:color w:val="1A1A1A"/>
                <w:sz w:val="14"/>
                <w:szCs w:val="14"/>
              </w:rPr>
              <w:t xml:space="preserve">El valor terminal parte de los ingresos 2031E (982.334), suma la maduración de la expansión ya financiada (+40.818) e indexa por inflación (+30.006) hasta 1.030.197; el FCFF 2032E = NOPAT 594.732 + D&amp;A 7.249 − mantención 56.661 − capital de trabajo 4.682 = 540.638.</w:t>
            </w:r>
          </w:p>
        </w:tc>
      </w:tr>
    </w:tbl>
    <w:p>
      <w:pPr>
        <w:pBdr>
          <w:bottom w:val="single" w:color="14284B" w:sz="18" w:space="2"/>
        </w:pBdr>
        <w:spacing w:after="80" w:before="200"/>
      </w:pPr>
      <w:r>
        <w:rPr>
          <w:rFonts w:ascii="Arial" w:cs="Arial" w:eastAsia="Arial" w:hAnsi="Arial"/>
          <w:b/>
          <w:bCs/>
          <w:color w:val="14284B"/>
          <w:sz w:val="30"/>
          <w:szCs w:val="30"/>
        </w:rPr>
        <w:t xml:space="preserve">ANEXO [C]: SUPUESTOS DE LA PROYECCIÓN</w:t>
      </w:r>
    </w:p>
    <w:p>
      <w:pPr>
        <w:shd w:fill="EEF1F6" w:color="auto" w:val="clear"/>
        <w:spacing w:after="40" w:line="216" w:lineRule="auto"/>
        <w:jc w:val="both"/>
      </w:pPr>
      <w:r>
        <w:rPr>
          <w:rFonts w:ascii="Arial" w:cs="Arial" w:eastAsia="Arial" w:hAnsi="Arial"/>
          <w:color w:val="1A1A1A"/>
          <w:sz w:val="14"/>
          <w:szCs w:val="14"/>
        </w:rPr>
        <w:t xml:space="preserve">El forecast base sigue el motor operativo del equipo con el pipeline completo con fecha (170.200 m², pipeline anunciado hasta 2028, incluidos 46.500 m² de otros proyectos en Chile); desde 2029 se suma una expansión continua al ritmo histórico de apertura. Los ingresos 2026E son año calendario; el período 2S26E descuenta el 1S26 real (CLP 339.530 MM de ingresos).</w:t>
      </w:r>
    </w:p>
    <w:p>
      <w:pPr>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826.662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883.482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923.322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959.374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3.309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12.294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22.960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45.466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48.592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50.783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52.766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proyectos en curso (USD MM)</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268,7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proyectos en curso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247.924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155.398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total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201.656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60.085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Capex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149.906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336.388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296.177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146.764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151.900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156.916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que abre en el año (m²)</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8.900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88.350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Pipeline en curso (Release 2Q26; Memoria 2025)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Desembolso del capex (desde 2027E)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67,2% / 32,8%;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 / 5,3%</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incremental terminal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 (g real 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ingresos (UDM 2T26)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0,704%</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w:t>
                  </w:r>
                </w:p>
              </w:tc>
            </w:tr>
          </w:tbl>
          <w:p/>
        </w:tc>
      </w:tr>
    </w:tbl>
    <w:p>
      <w:pPr>
        <w:pBdr>
          <w:bottom w:val="single" w:color="E9004B" w:sz="8" w:space="1"/>
        </w:pBdr>
        <w:spacing w:after="50" w:before="100"/>
      </w:pPr>
      <w:r>
        <w:rPr>
          <w:rFonts w:ascii="Arial" w:cs="Arial" w:eastAsia="Arial" w:hAnsi="Arial"/>
          <w:b/>
          <w:bCs/>
          <w:color w:val="14284B"/>
          <w:sz w:val="16"/>
          <w:szCs w:val="16"/>
        </w:rPr>
        <w:t xml:space="preserve">D. CALENDARIO DE LA DEUDA (CLP MM; HOJA DEUDA)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 de apertura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2.457.403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FCFF</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88.514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149.981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213.233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382.940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387.084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409.693</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Costo financiero neto, después de impuestos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34.783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40.471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46.273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51.959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59.437</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Reajuste UF, después de impuestos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12.676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30.374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34.168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37.757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42.516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Dividendos ordinarios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60.108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152.016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171.061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175.311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178.543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176.458</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Distribución adicional (recompra / dividendo extra)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96.106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186.689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235.670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393.865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416.502</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DFN de cierre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2.457.403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2.742.623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 / EBITDA de cierre (x)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de cierre (caja constante 347.621)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1.730.211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1.980.259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2.244.602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2.529.984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2.805.024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3.090.244</w:t>
            </w:r>
          </w:p>
        </w:tc>
      </w:tr>
    </w:tbl>
    <w:p>
      <w:pPr>
        <w:spacing w:after="0" w:before="10" w:line="216" w:lineRule="auto"/>
      </w:pPr>
      <w:r>
        <w:rPr>
          <w:rFonts w:ascii="Arial" w:cs="Arial" w:eastAsia="Arial" w:hAnsi="Arial"/>
          <w:color w:val="5F5F5F"/>
          <w:sz w:val="11"/>
          <w:szCs w:val="11"/>
        </w:rPr>
        <w:t xml:space="preserve">DFN(t) = DFN(t−1) − FCFF + costo financiero y reajuste UF después de impuestos + dividendos ordinarios + distribución adicional, que lleva la DFN a la trayectoria objetivo (2,36x → 3,5x). Costo financiero: 3,08% de la DFN + 25 pb por vuelta sobre 2,36x; reajuste UF sobre 79% de la deuda a 3,0%. Vencimientos de bonos: Figura 6. Fuente: modelo v4 (Release 2Q26; EEFF dic-25; Exhibits v7).</w:t>
      </w:r>
    </w:p>
    <w:p>
      <w:pPr>
        <w:pageBreakBefore/>
        <w:pBdr>
          <w:bottom w:val="single" w:color="14284B" w:sz="18" w:space="2"/>
        </w:pBdr>
        <w:spacing w:after="80" w:before="0"/>
      </w:pPr>
      <w:r>
        <w:rPr>
          <w:rFonts w:ascii="Arial" w:cs="Arial" w:eastAsia="Arial" w:hAnsi="Arial"/>
          <w:b/>
          <w:bCs/>
          <w:color w:val="14284B"/>
          <w:sz w:val="30"/>
          <w:szCs w:val="30"/>
        </w:rPr>
        <w:t xml:space="preserve">ANEXO [E]: MÚLTIPLOS COMPARABLES</w:t>
      </w:r>
    </w:p>
    <w:p>
      <w:pPr>
        <w:shd w:fill="EEF1F6" w:color="auto" w:val="clear"/>
        <w:spacing w:after="40" w:line="216" w:lineRule="auto"/>
        <w:jc w:val="both"/>
      </w:pPr>
      <w:r>
        <w:rPr>
          <w:rFonts w:ascii="Arial" w:cs="Arial" w:eastAsia="Arial" w:hAnsi="Arial"/>
          <w:color w:val="1A1A1A"/>
          <w:sz w:val="14"/>
          <w:szCs w:val="14"/>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r>
          </w:tbl>
          <w:p/>
        </w:tc>
      </w:tr>
    </w:tbl>
    <w:p>
      <w:pPr>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v4, hojas Comparables y Precio_Objetivo; Figuras_Valuacion, V7.</w:t>
      </w:r>
    </w:p>
    <w:p>
      <w:pPr>
        <w:pBdr>
          <w:bottom w:val="single" w:color="14284B" w:sz="18" w:space="2"/>
        </w:pBdr>
        <w:spacing w:after="80" w:before="200"/>
      </w:pPr>
      <w:r>
        <w:rPr>
          <w:rFonts w:ascii="Arial" w:cs="Arial" w:eastAsia="Arial" w:hAnsi="Arial"/>
          <w:b/>
          <w:bCs/>
          <w:color w:val="14284B"/>
          <w:sz w:val="30"/>
          <w:szCs w:val="30"/>
        </w:rPr>
        <w:t xml:space="preserve">ANEXO [F]: ESCENARIOS Y ROBUSTEZ</w:t>
      </w:r>
    </w:p>
    <w:p>
      <w:pPr>
        <w:shd w:fill="EEF1F6" w:color="auto" w:val="clear"/>
        <w:spacing w:after="40" w:line="216" w:lineRule="auto"/>
        <w:jc w:val="both"/>
      </w:pPr>
      <w:r>
        <w:rPr>
          <w:rFonts w:ascii="Arial" w:cs="Arial" w:eastAsia="Arial" w:hAnsi="Arial"/>
          <w:color w:val="1A1A1A"/>
          <w:sz w:val="14"/>
          <w:szCs w:val="14"/>
        </w:rPr>
        <w:t xml:space="preserve">Ningún escenario ni método alternativo alcanza el precio de CLP 3.555. Los escenarios se calculan con la réplica del DCF (reproduce exactamente el valor base) y el precio objetivo mantiene el 80% DCF y el valor por múltiplos de CLP 2.951. Bear es todo lo que sale mal a la vez; bull, todo lo que sale bien; ambos con las mismas palancas del tornado de Riesgos. La ponderación por probabilidad es un cross-check: el precio objetivo sigue siendo el del caso base.</w:t>
      </w:r>
    </w:p>
    <w:p>
      <w:pPr>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100"/>
        <w:gridCol w:w="5666"/>
        <w:gridCol w:w="600"/>
        <w:gridCol w:w="1100"/>
        <w:gridCol w:w="1200"/>
        <w:gridCol w:w="1000"/>
      </w:tblGrid>
      <w:tr>
        <w:trPr>
          <w:tblHeader/>
        </w:trPr>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Escenario</w:t>
            </w:r>
          </w:p>
        </w:tc>
        <w:tc>
          <w:tcPr>
            <w:tcW w:type="dxa" w:w="56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Supuestos (todos a la vez)</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Prob.</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objetivo</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Todo sale mal: WACC nominal +100 pb en todos los períodos; margen EBITDA 75,8%, ocupación 95,1%, arriendo mismas tiendas 2027–28 3,7%, ventas de locatarios 3,7%, crecimiento real 2029–31 en el piso de la Nota 11, visitas 5,6%, capex de mantención 6,6%</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1.542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−56,6%</w:t>
            </w:r>
          </w:p>
        </w:tc>
      </w:tr>
      <w:tr>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56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Central: modelo v4; WACC nominal 10,54% → 10,41%; g 3,0%; margen 79,7%</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Todo sale bien: WACC nominal −100 pb; margen 81,3%, ocupación 96,6%, arriendo mismas tiendas 9,4%, ventas de locatarios 9,9%, crecimiento real en el techo de la Nota 11, visitas 17,3%, capex de mantención 4,8%; impuesto en caja con techo de 23%</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w:t>
            </w:r>
          </w:p>
        </w:tc>
      </w:tr>
      <w:tr>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Ponderado</w:t>
            </w:r>
          </w:p>
        </w:tc>
        <w:tc>
          <w:tcPr>
            <w:tcW w:type="dxa" w:w="56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25 / 50 / 25 (supuesto del equipo, por validar)</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Tasadores</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2.734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2.106</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2.449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−31,1%</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1.883</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2.096</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−41,0%</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implícita en el precio: 7,60%</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bl>
          <w:p>
            <w:pPr>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1.820</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1.851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1.843</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1.835</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1.874</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1.844</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1.897</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EFECTO DE CADA PALANCA SOLA EN EL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425"/>
              <w:gridCol w:w="900"/>
              <w:gridCol w:w="900"/>
            </w:tblGrid>
            <w:tr>
              <w:trPr>
                <w:tblHeader/>
              </w:trPr>
              <w:tc>
                <w:tcPr>
                  <w:tcW w:type="dxa" w:w="34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Palanca (extremos del tornado)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Bear</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Bull</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Ocupación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Arriendo en mismas tiendas 2027–28 (precio)</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real del arriendo 2029–31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Visitas 2027–28 (parking)</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Ventas de locatarios 2027–28 (renta variable)</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±100 pb</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+430</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23% (solo bull)</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+136</w:t>
                  </w:r>
                </w:p>
              </w:tc>
            </w:tr>
          </w:tbl>
          <w:p>
            <w:pPr>
              <w:pBdr>
                <w:bottom w:val="single" w:color="E9004B" w:sz="8" w:space="1"/>
              </w:pBdr>
              <w:spacing w:after="50" w:before="100"/>
            </w:pPr>
            <w:r>
              <w:rPr>
                <w:rFonts w:ascii="Arial" w:cs="Arial" w:eastAsia="Arial" w:hAnsi="Arial"/>
                <w:b/>
                <w:bCs/>
                <w:color w:val="14284B"/>
                <w:sz w:val="16"/>
                <w:szCs w:val="16"/>
              </w:rPr>
              <w:t xml:space="preserve">D. SENSIBILIDADES PEDIDAS POR LA REVISIÓN (FUERA DEL CASO BASE)</w:t>
            </w:r>
          </w:p>
          <w:tbl>
            <w:tblPr>
              <w:tblW w:type="dxa" w:w="4925"/>
              <w:tblBorders>
                <w:top w:val="none" w:color="FFFFFF" w:sz="0"/>
                <w:left w:val="none" w:color="FFFFFF" w:sz="0"/>
                <w:bottom w:val="none" w:color="FFFFFF" w:sz="0"/>
                <w:right w:val="none" w:color="FFFFFF" w:sz="0"/>
                <w:insideH w:val="none" w:color="FFFFFF" w:sz="0"/>
                <w:insideV w:val="none" w:color="FFFFFF" w:sz="0"/>
              </w:tblBorders>
            </w:tblPr>
            <w:tblGrid>
              <w:gridCol w:w="2325"/>
              <w:gridCol w:w="600"/>
              <w:gridCol w:w="6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Sensibilidad</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 DCF</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por jurisdicción: Perú 29,5%, Colombia 35% (tasa ponderada 28,3% vs 27%)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2.036</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−42,7%</w:t>
                  </w:r>
                </w:p>
              </w:tc>
            </w:tr>
            <w:tr>
              <w:tc>
                <w:tcPr>
                  <w:tcW w:type="dxa" w:w="23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al run-rate de 1S26 (0,88% vs 0,704% de los ingresos)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1.861</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2.079</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−41,5%</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Gran Plaza incluida: USD 376 MM a cap rate 9,4% (orden de magnitud)</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1.848</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2.069</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−41,8%</w:t>
                  </w:r>
                </w:p>
              </w:tc>
            </w:tr>
          </w:tbl>
          <w:p/>
        </w:tc>
      </w:tr>
    </w:tbl>
    <w:p>
      <w:pPr>
        <w:spacing w:after="0" w:before="10" w:line="216" w:lineRule="auto"/>
      </w:pPr>
      <w:r>
        <w:rPr>
          <w:rFonts w:ascii="Arial" w:cs="Arial" w:eastAsia="Arial" w:hAnsi="Arial"/>
          <w:color w:val="5F5F5F"/>
          <w:sz w:val="11"/>
          <w:szCs w:val="11"/>
        </w:rPr>
        <w:t xml:space="preserve">Bear y bull: cada palanca en el mínimo/máximo histórico del tornado de Riesgos (Earnings Releases 4Q23 y 3Q25 para el margen; Nota 11 para el crecimiento real de largo plazo) en todos los años; el bull no recalcula el escudo fiscal de la WACC. Sección D: tasa de cada año escalada por la mezcla de EBITDA por país (Chile ~70%, Perú ~20%, Colombia ~10%; PwC Tax Summaries, Perú revisado 13-jul-26, Colombia 21-jul-26); Gran Plaza a nuestro cap rate implícito (10,1%) − precio pagado, con un cap rate sobre EBITDA aplicado a un NOI. Ninguna cambia la recomendación. Fuente: réplica del DCF v4 (escenarios_dcf.py); modelo v4, hojas APV, Sensibilidad (tabla 2, estática) y DCF; Figuras_Valuacion, WACC_Construccion y V6.</w:t>
      </w:r>
    </w:p>
    <w:p>
      <w:pPr>
        <w:pageBreakBefore/>
        <w:pBdr>
          <w:bottom w:val="single" w:color="14284B" w:sz="18" w:space="2"/>
        </w:pBdr>
        <w:spacing w:after="80" w:before="0"/>
      </w:pPr>
      <w:r>
        <w:rPr>
          <w:rFonts w:ascii="Arial" w:cs="Arial" w:eastAsia="Arial" w:hAnsi="Arial"/>
          <w:b/>
          <w:bCs/>
          <w:color w:val="14284B"/>
          <w:sz w:val="30"/>
          <w:szCs w:val="30"/>
        </w:rPr>
        <w:t xml:space="preserve">ANEXO [Z]: CONSTRUCCIÓN DE LA WACC</w:t>
      </w:r>
    </w:p>
    <w:p>
      <w:pPr>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CRP ponderado</w:t>
      </w:r>
    </w:p>
    <w:p>
      <w:pPr>
        <w:spacing w:after="10"/>
        <w:ind w:left="240"/>
      </w:pPr>
      <w:r>
        <w:rPr>
          <w:rFonts w:ascii="Arial" w:cs="Arial" w:eastAsia="Arial" w:hAnsi="Arial"/>
          <w:b/>
          <w:bCs/>
          <w:color w:val="14284B"/>
          <w:sz w:val="14"/>
          <w:szCs w:val="14"/>
        </w:rPr>
        <w:t xml:space="preserve">Ke CLP = (1 + Ke USD) × (1 + π Chile) / (1 + π EE.UU.) − 1</w:t>
      </w:r>
    </w:p>
    <w:p>
      <w:pPr>
        <w:spacing w:after="10"/>
        <w:ind w:left="240"/>
      </w:pPr>
      <w:r>
        <w:rPr>
          <w:rFonts w:ascii="Arial" w:cs="Arial" w:eastAsia="Arial" w:hAnsi="Arial"/>
          <w:b/>
          <w:bCs/>
          <w:color w:val="14284B"/>
          <w:sz w:val="14"/>
          <w:szCs w:val="14"/>
        </w:rPr>
        <w:t xml:space="preserve">Kd CLP = (1 + Kd real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Figura Z1: </w:t>
            </w:r>
            <w:r>
              <w:rPr>
                <w:rFonts w:ascii="Arial" w:cs="Arial" w:eastAsia="Arial" w:hAnsi="Arial"/>
                <w:color w:val="14284B"/>
                <w:sz w:val="14"/>
                <w:szCs w:val="14"/>
              </w:rPr>
              <w:t xml:space="preserve">WACC nominal y D/E por período</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la réplica coincide con la hoja WACC del modelo v4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2.323</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2.449</w:t>
                  </w:r>
                </w:p>
              </w:tc>
            </w:tr>
          </w:tbl>
          <w:p>
            <w:pPr>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2.449, todavía 31% bajo el precio de CLP 3.555. La recomendación no cambia.</w:t>
            </w:r>
          </w:p>
          <w:p>
            <w:pPr>
              <w:spacing w:after="0" w:before="30" w:line="216" w:lineRule="auto"/>
              <w:jc w:val="both"/>
            </w:pPr>
            <w:r>
              <w:rPr>
                <w:rFonts w:ascii="Arial" w:cs="Arial" w:eastAsia="Arial" w:hAnsi="Arial"/>
                <w:color w:val="5F5F5F"/>
                <w:sz w:val="11"/>
                <w:szCs w:val="11"/>
              </w:rPr>
              <w:t xml:space="preserve">Fuente: BCCh, Informativo Diario 2-jul-26; réplica del DCF v4 con la WACC desplazada en todos los períodos.</w:t>
            </w:r>
          </w:p>
        </w:tc>
      </w:tr>
    </w:tbl>
    <w:sectPr>
      <w:headerReference w:type="default" r:id="rId7"/>
      <w:footerReference w:type="default" r:id="rId8"/>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37f9670dd9b87d723848d2dd6de478ef16272e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2026-10-17T22:36:18.762Z</dcterms:created>
  <dcterms:modified xsi:type="dcterms:W3CDTF">2026-10-17T22:36:18.762Z</dcterms:modified>
</cp:coreProperties>
</file>

<file path=docProps/custom.xml><?xml version="1.0" encoding="utf-8"?>
<Properties xmlns="http://schemas.openxmlformats.org/officeDocument/2006/custom-properties" xmlns:vt="http://schemas.openxmlformats.org/officeDocument/2006/docPropsVTypes"/>
</file>