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4284B" w:sz="18" w:space="2"/>
        </w:pBdr>
        <w:spacing w:after="80"/>
      </w:pPr>
      <w:r>
        <w:rPr>
          <w:rFonts w:ascii="Arial" w:cs="Arial" w:eastAsia="Arial" w:hAnsi="Arial"/>
          <w:b/>
          <w:bCs/>
          <w:color w:val="14284B"/>
          <w:sz w:val="30"/>
          <w:szCs w:val="30"/>
        </w:rPr>
        <w:t xml:space="preserve">INVESTMENT RISKS</w:t>
      </w:r>
    </w:p>
    <w:sdt>
      <w:sdtPr>
        <w:rPr>
          <w:rFonts w:ascii="Arial" w:hAnsi="Arial" w:cs="Arial"/>
          <w:color w:val="1A1A1A"/>
          <w:sz w:val="16"/>
          <w:szCs w:val="16"/>
        </w:rPr>
        <w:id w:val="1000"/>
        <w:showingPlcHdr/>
      </w:sdtPr>
      <w:sdtContent>
        <w:p>
          <w:pPr>
            <w:shd w:fill="EEF1F6" w:color="auto" w:val="clear"/>
            <w:spacing w:after="80" w:line="228"/>
          </w:pPr>
          <w:r>
            <w:rPr>
              <w:rFonts w:ascii="Arial" w:cs="Arial" w:eastAsia="Arial" w:hAnsi="Arial"/>
              <w:i/>
              <w:iCs/>
              <w:color w:val="808081"/>
              <w:sz w:val="16"/>
              <w:szCs w:val="16"/>
            </w:rPr>
            <w:t xml:space="preserve">[Summary: overall risk view for Mallplaza and the main risks to the recommendation and target price.]</w:t>
          </w:r>
        </w:p>
      </w:sdtContent>
    </w:sdt>
    <w:tbl>
      <w:tblPr>
        <w:tblW w:type="dxa" w:w="106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900"/>
        <w:gridCol w:w="216"/>
        <w:gridCol w:w="3550"/>
      </w:tblGrid>
      <w:tr>
        <w:trPr>
          <w:trHeight w:val="13650" w:hRule="atLeast"/>
        </w:trPr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RISK ASSESSMENT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01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[Explain how likelihood and impact were scored (1–5) in Figure 1 and which risks fall in the high-risk zone.]</w:t>
                </w:r>
              </w:p>
            </w:sdtContent>
          </w:sdt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OPERATIONAL RISKS</w:t>
            </w:r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OR1: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002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EBITDA margin compression.]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03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1–4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04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OR2: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005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slowdown in same-store rent growth.]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06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1–4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07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OR3: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008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higher maintenance capex.]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09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1–4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10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FINANCIAL RISKS</w:t>
            </w:r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FR1: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011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revaluation of UF-indexed debt.]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12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1–4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13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FR2: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014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higher cost of capital.]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15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1–4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16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MARKET &amp; MACROECONOMIC RISKS</w:t>
            </w:r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MR1: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017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FX exposure in Peru and Colombia.]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18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1–4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19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REGULATORY &amp; ESG RISKS</w:t>
            </w:r>
          </w:p>
          <w:p>
            <w:pPr>
              <w:spacing w:after="1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E9004B"/>
                <w:sz w:val="16"/>
                <w:szCs w:val="16"/>
              </w:rPr>
              <w:t xml:space="preserve">RR1: </w:t>
            </w:r>
            <w:sdt>
              <w:sdtPr>
                <w:rPr>
                  <w:rFonts w:ascii="Arial" w:hAnsi="Arial" w:cs="Arial"/>
                  <w:b/>
                  <w:bCs/>
                  <w:color w:val="1A1A1A"/>
                  <w:sz w:val="16"/>
                  <w:szCs w:val="16"/>
                </w:rPr>
                <w:id w:val="1020"/>
                <w:showingPlcHdr/>
              </w:sdtPr>
              <w:sdtContent>
                <w:r>
                  <w:rPr>
                    <w:rFonts w:ascii="Arial" w:cs="Arial" w:eastAsia="Arial" w:hAnsi="Arial"/>
                    <w:b/>
                    <w:bCs/>
                    <w:i/>
                    <w:iCs/>
                    <w:color w:val="808081"/>
                    <w:sz w:val="16"/>
                    <w:szCs w:val="16"/>
                  </w:rPr>
                  <w:t xml:space="preserve">[Risk title, e.g. related-party transactions.]</w:t>
                </w:r>
              </w:sdtContent>
            </w:sdt>
            <w:r>
              <w:rPr>
                <w:rFonts w:ascii="Arial" w:cs="Arial" w:eastAsia="Arial" w:hAnsi="Arial"/>
                <w:sz w:val="16"/>
                <w:szCs w:val="16"/>
              </w:rPr>
              <w:t xml:space="preserve">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21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[Describe the risk: what could happen, how likely it is, and its impact on revenue, EBITDA or value per share; reference Figures 1–4 where relevant.]</w:t>
                </w:r>
              </w:sdtContent>
            </w:sdt>
          </w:p>
          <w:p>
            <w:pPr>
              <w:spacing w:after="50" w:before="0" w:line="228"/>
              <w:jc w:val="both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Mitigants: </w:t>
            </w:r>
            <w:sdt>
              <w:sdtPr>
                <w:rPr>
                  <w:rFonts w:ascii="Arial" w:hAnsi="Arial" w:cs="Arial"/>
                  <w:color w:val="1A1A1A"/>
                  <w:sz w:val="16"/>
                  <w:szCs w:val="16"/>
                </w:rPr>
                <w:id w:val="1022"/>
                <w:showingPlcHdr/>
              </w:sdtPr>
              <w:sdtContent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[How the company or the thesis offsets this risk.]</w:t>
                </w:r>
              </w:sdtContent>
            </w:sdt>
          </w:p>
          <w:p>
            <w:pPr>
              <w:pStyle w:val="Heading2"/>
              <w:pBdr>
                <w:bottom w:val="single" w:color="E9004B" w:sz="8" w:space="1"/>
              </w:pBdr>
              <w:spacing w:after="50" w:before="100"/>
            </w:pPr>
            <w:r>
              <w:rPr>
                <w:rFonts w:ascii="Arial" w:cs="Arial" w:eastAsia="Arial" w:hAnsi="Arial"/>
                <w:b/>
                <w:bCs/>
                <w:color w:val="14284B"/>
                <w:sz w:val="16"/>
                <w:szCs w:val="16"/>
              </w:rPr>
              <w:t xml:space="preserve">SENSITIVITY ANALYSIS</w:t>
            </w:r>
          </w:p>
          <w:sdt>
            <w:sdtPr>
              <w:rPr>
                <w:rFonts w:ascii="Arial" w:hAnsi="Arial" w:cs="Arial"/>
                <w:color w:val="1A1A1A"/>
                <w:sz w:val="16"/>
                <w:szCs w:val="16"/>
              </w:rPr>
              <w:id w:val="1023"/>
              <w:showingPlcHdr/>
            </w:sdtPr>
            <w:sdtContent>
              <w:p>
                <w:pPr>
                  <w:spacing w:after="40" w:before="0" w:line="228"/>
                  <w:jc w:val="both"/>
                </w:pPr>
                <w:r>
                  <w:rPr>
                    <w:rFonts w:ascii="Arial" w:cs="Arial" w:eastAsia="Arial" w:hAnsi="Arial"/>
                    <w:i/>
                    <w:iCs/>
                    <w:color w:val="808081"/>
                    <w:sz w:val="16"/>
                    <w:szCs w:val="16"/>
                  </w:rPr>
                  <w:t xml:space="preserve">[Comment on Figures 2–4: which drivers move the value per share most, the downside versus the base case, and whether the recommendation holds.]</w:t>
                </w:r>
              </w:p>
            </w:sdtContent>
          </w:sdt>
        </w:tc>
        <w:tc>
          <w:tcPr>
            <w:tcW w:type="dxa" w:w="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35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1: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Risk matrix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54250" cy="2331983"/>
                  <wp:effectExtent t="0" r="0" b="0" l="0"/>
                  <wp:docPr id="1" name="fig1_matriz_riesgo.png" descr="fig1_matriz_riesgo.png" title="fig1_matriz_ries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0" cy="2331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2: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Operational risk tornado (CLP per share)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54250" cy="2331983"/>
                  <wp:effectExtent t="0" r="0" b="0" l="0"/>
                  <wp:docPr id="1" name="fig2_tornado.png" descr="fig2_tornado.png" title="fig2_tornad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0" cy="2331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3: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Value per share sensitivity: WACC vs g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54250" cy="1783281"/>
                  <wp:effectExtent t="0" r="0" b="0" l="0"/>
                  <wp:docPr id="1" name="fig3_heatmap.png" descr="fig3_heatmap.png" title="fig3_heatma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0" cy="17832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4284B"/>
                <w:sz w:val="14"/>
                <w:szCs w:val="14"/>
              </w:rPr>
              <w:t xml:space="preserve">Figure 4: </w:t>
            </w:r>
            <w:r>
              <w:rPr>
                <w:rFonts w:ascii="Arial" w:cs="Arial" w:eastAsia="Arial" w:hAnsi="Arial"/>
                <w:color w:val="14284B"/>
                <w:sz w:val="14"/>
                <w:szCs w:val="14"/>
              </w:rPr>
              <w:t xml:space="preserve">Earnings sensitivity to a rise in the UF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254250" cy="1554655"/>
                  <wp:effectExtent t="0" r="0" b="0" l="0"/>
                  <wp:docPr id="1" name="fig4_uf.png" descr="fig4_uf.png" title="fig4_uf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4250" cy="155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620" w:bottom="900" w:left="620" w:header="450" w:footer="4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F5F5F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9E0" w:sz="4" w:space="2"/>
      </w:pBdr>
      <w:jc w:val="right"/>
    </w:pPr>
    <w:r>
      <w:rPr>
        <w:rFonts w:ascii="Arial" w:cs="Arial" w:eastAsia="Arial" w:hAnsi="Arial"/>
        <w:color w:val="5F5F5F"/>
        <w:sz w:val="14"/>
        <w:szCs w:val="14"/>
      </w:rPr>
      <w:t xml:space="preserve">Mallplaza (Plaza S.A.)  |  CFA Institute Research Challenge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4284B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4284B"/>
      <w:sz w:val="16"/>
      <w:szCs w:val="1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21b4553abc6a7bc2bffe30acda5e17ed53c0786.png"/><Relationship Id="rId10" Type="http://schemas.openxmlformats.org/officeDocument/2006/relationships/image" Target="media/de6d492575b8392d60c6facefb1abc2c79ef0eae.png"/><Relationship Id="rId11" Type="http://schemas.openxmlformats.org/officeDocument/2006/relationships/image" Target="media/70b2b3f1e475e59b034b6293cc0c43795c65442d.png"/><Relationship Id="rId12" Type="http://schemas.openxmlformats.org/officeDocument/2006/relationships/image" Target="media/9d31dd3e76b3dcb95aa175fdaea7bf1546522fc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2026-10-11T22:42:06.392Z</dcterms:created>
  <dcterms:modified xsi:type="dcterms:W3CDTF">2026-10-11T22:42:06.392Z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