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VALUACIÓN</w:t>
      </w:r>
    </w:p>
    <w:p>
      <w:pPr>
        <w:shd w:fill="EEF1F6" w:color="auto" w:val="clear"/>
        <w:spacing w:after="80" w:line="228" w:lineRule="auto"/>
        <w:jc w:val="both"/>
      </w:pPr>
      <w:r>
        <w:rPr>
          <w:rFonts w:ascii="Arial" w:cs="Arial" w:eastAsia="Arial" w:hAnsi="Arial"/>
          <w:color w:val="1A1A1A"/>
          <w:sz w:val="16"/>
          <w:szCs w:val="16"/>
        </w:rPr>
        <w:t xml:space="preserve">Recomendamos VENDER Mallplaza con un precio objetivo de CLP 2.076 por acción (80% DCF y 20% múltiplos), 41,6% bajo el cierre de CLP 3.555 del 30-sep-26. Ningún método justifica el precio actual (Figura 27).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900"/>
        <w:gridCol w:w="216"/>
        <w:gridCol w:w="3550"/>
      </w:tblGrid>
      <w:tr>
        <w:trPr>
          <w:cantSplit/>
        </w:trPr>
        <w:tc>
          <w:tcPr>
            <w:tcW w:type="dxa" w:w="6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2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SÍNTESIS Y PONDERACIÓN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Asignamos 80% al DCF porque los flujos de Mallplaza son muy predecibles: el 81,4% de los ingresos UDM son arriendos y el 93% de ellos es renta fija. Los múltiplos (20%) contrastan el modelo con lo que paga hoy el mercado; limitamos su peso porque en Chile solo hay dos pares directos (Parque Arauco y Cencosud Shopping) y porque no capturan la expansión de GLA ni la trayectoria de deuda de Mallplaza, que sí están en el DCF.</w:t>
            </w:r>
          </w:p>
          <w:p>
            <w:pPr>
              <w:pBdr>
                <w:bottom w:val="single" w:color="E9004B" w:sz="8" w:space="1"/>
              </w:pBdr>
              <w:spacing w:after="50" w:before="9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DCF: ESTRUCTURA Y TASA DE DESCUENTO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Valoramos el FCFF en dos etapas, en CLP nominales, al 30-jun-26 y con convención de mitad de período. La etapa explícita (2S26E–2031E) incluye el capex y la maduración de los proyectos que abren hasta 2032 (108.301 m² de GLA madura en el año terminal). Desde 2032, una perpetuidad de Gordon explica el 76% del EV, sin GLA neta nueva y con capex solo de mantención (Anexo [B]).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Descomposición del valor. </w:t>
            </w: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Los CLP 1.857 por acción son CLP 583 de flujos explícitos más CLP 1.884 de valor terminal, menos CLP 587 de DFN y CLP 23 de minoritarios: el resultado depende sobre todo de la WACC terminal y de g.</w:t>
            </w:r>
          </w:p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35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30" w:before="2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Figura 27: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Ningún método justifica el precio actual (CLP por acción)</w:t>
            </w:r>
          </w:p>
          <w:p>
            <w:pPr>
              <w:spacing w:after="20" w:before="0" w:line="240" w:lineRule="auto"/>
            </w:pPr>
            <w:r>
              <w:drawing>
                <wp:inline distT="0" distB="0" distL="0" distR="0">
                  <wp:extent cx="2257425" cy="1695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7425" cy="1695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Rango 52 semanas pendiente (Bloomberg). Fuente: análisis del equipo; Bloomberg.</w:t>
            </w:r>
          </w:p>
        </w:tc>
      </w:tr>
      <w:tr>
        <w:trPr>
          <w:cantSplit/>
        </w:trPr>
        <w:tc>
          <w:tcPr>
            <w:tcW w:type="dxa" w:w="6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WACC. </w:t>
            </w: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Cambia por período a medida que la DFN/EBITDA converge de 2,36x a 3,5x en 2031: 10,54% en 2S26E y 10,41% en el terminal (7,32% y 7,20% reales). El Ke se calcula en USD y se pasa a CLP con el diferencial de inflación: Rf 4,98% + beta 1,14 × ERP 4,14% + CRP 1,41% = 11,10% (11,93% en CLP, terminal). La beta re-apalanca la mediana de seis pares (0,94) y el CRP pondera el riesgo país por ingresos (71,8% Chile). El Kd parte del cupón de la última emisión en UF (3,6% real) más 25 pb por vuelta de apalancamiento sobre 2,36x: 4,92% después de impuestos en 2S26E y 5,11% en el terminal. A CLP 3.555 el patrimonio rinde casi lo mismo que esa deuda (Figura 28; detalle en el Anexo [Z]).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Estructura de capital. </w:t>
            </w: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La compañía usa su capacidad de deuda para crecer, como en 2024 (3,78x tras comprar Open Plaza Perú): la DFN/EBITDA sube de 2,36x a 3,5x en 2031 y la deuda nueva (CLP 1,40 billones) financia todo el capex del período (CLP 1,11 billones). La caja operativa se distribuye a los accionistas (dividendos más CLP 1,79 billones adicionales). La deuda es más barata que el patrimonio (Kd ~5% vs Ke ~12%) y genera escudo fiscal (Anexo [D]).</w:t>
            </w:r>
          </w:p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35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30" w:before="2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Figura 28: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A CLP 3.555 el patrimonio rinde casi lo mismo que la deuda</w:t>
            </w:r>
          </w:p>
          <w:p>
            <w:pPr>
              <w:spacing w:after="20" w:before="0" w:line="240" w:lineRule="auto"/>
            </w:pPr>
            <w:r>
              <w:drawing>
                <wp:inline distT="0" distB="0" distL="0" distR="0">
                  <wp:extent cx="2257425" cy="1733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7425" cy="1733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Tasas reales en UF. Fuente: BCCh (30-06-26); Mallplaza; análisis del equipo.</w:t>
            </w:r>
          </w:p>
        </w:tc>
      </w:tr>
      <w:tr>
        <w:trPr>
          <w:cantSplit/>
        </w:trPr>
        <w:tc>
          <w:tcPr>
            <w:tcW w:type="dxa" w:w="6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9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DCF: PROYECCIÓN OPERATIVA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El EBITDA reportado (CLP 544.935 MM UDM, margen de 80,5%) excluye la revalorización de propiedades (NIC 40); proyectamos un margen de 79,7% en 2026E y de 79,7–79,8% hasta 2031E. La tasa de impuesto operacional sube de 16,8% en 2026E a 27% en 2030E, a medida que se diluyen los beneficios vigentes. El capex base (pipeline más mantención de 5,5% de los ingresos) llega a CLP 240.660 MM en 2027 y baja a ~CLP 50.000 MM desde 2029. Desde 2029 abren además 27.075 m² al año (promedio histórico), con capex de CLP 95.000–104.000 MM anuales, una rampa de 35%/90%/100% y un yield on cost de 6,9%, al costo del pipeline identificado (USD 3.603/m²: 170.200 m² y USD 613,2 MM). El capital de trabajo (15,6% × Δ ingresos) exige CLP 7.100–9.900 MM al año y mueve el precio solo ±1,2% (Anexo [C]).</w:t>
            </w:r>
          </w:p>
          <w:p>
            <w:pPr>
              <w:pBdr>
                <w:bottom w:val="single" w:color="E9004B" w:sz="8" w:space="1"/>
              </w:pBdr>
              <w:spacing w:after="50" w:before="9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DCF: VALOR TERMINAL Y CAP RATE IMPLÍCITO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Usamos g = 3,0% nominal (0% real). El RONIC real de la expansión (5,0%) es menor que la WACC real (7,2%): crecer más allá del horizonte destruye valor y un g mayor lo reduce (Figura 29). El DCF implica un cap rate de 10,1% sobre el EV y de 11,3% sobre el valor terminal, frente a 6,0% del mercado, 6,4% de los pares chilenos, 7,5% a valor libro y 5,55% de los tasadores (Nota 11) (Figura 32). Esa brecha no es una inconsistencia: es el núcleo de la tesis. Para justificar el precio actual, la WACC tendría que ser 285 pb menor (Figura 33).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Qué descuenta el precio. </w:t>
            </w: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A CLP 3.555 el EV implícito (CLP 9,12 billones) es 69% mayor que el nuestro. Justificarlo exigiría flujos 69% mayores para siempre o una WACC de ~4,4% real, apenas 80 pb sobre el Kd real de la compañía (3,6%): casi sin prima para el patrimonio. Y como el RONIC es menor que la WACC, más crecimiento agranda la brecha.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Valor libro y tasadores. </w:t>
            </w: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El patrimonio contable (CLP 2.201 por acción) ya registra las propiedades a valor razonable, tasadas a ~5,55% real (Nota 11). El mercado paga 1,61x ese valor, más que los tasadores (aun con el efecto de los impuestos diferidos); nuestro precio objetivo implica 0,94x. Incluso con la tasa de los tasadores, el DCF sería CLP 2.660, 25% bajo el precio.</w:t>
            </w:r>
          </w:p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35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30" w:before="2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Figura 29: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Crecer bajo la WACC destruye valor: g real = 0%</w:t>
            </w:r>
          </w:p>
          <w:p>
            <w:pPr>
              <w:spacing w:after="20" w:before="0" w:line="240" w:lineRule="auto"/>
            </w:pPr>
            <w:r>
              <w:drawing>
                <wp:inline distT="0" distB="0" distL="0" distR="0">
                  <wp:extent cx="2257425" cy="2152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7425" cy="2152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Arriba: valor DCF según g. Abajo: valor terminal relativo según el RONIC. Fuente: análisis del equipo.</w:t>
            </w:r>
          </w:p>
        </w:tc>
      </w:tr>
    </w:tbl>
    <w:p>
      <w:pPr>
        <w:pageBreakBefore/>
        <w:spacing w:after="0"/>
      </w:pP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900"/>
        <w:gridCol w:w="216"/>
        <w:gridCol w:w="3550"/>
      </w:tblGrid>
      <w:tr>
        <w:trPr>
          <w:cantSplit/>
        </w:trPr>
        <w:tc>
          <w:tcPr>
            <w:tcW w:type="dxa" w:w="6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2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VALUACIÓN RELATIVA: MÚLTIPLOS (20%)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El set es el mismo de la beta: Parque Arauco y Cencosud Shopping (Chile), Allos, Multiplan e Iguatemi (Brasil) e IRSA (Argentina, con cautela por NIC 29 y un solo analista en el NTM). Excluimos Fibra Danhos, que como FIBRA distribuye el 95% de su resultado fiscal (Anexo [E]). Brasil transa a múltiplos más bajos por sus tasas y primas de riesgo (mediana de 9,0x EV/EBITDA frente a 15,7x en Chile; Figura 30). Como el 71,8% de los ingresos viene de Chile, el múltiplo pondera 70% la mediana chilena y 30% la del set (11,1x): 14,4x.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Usamos EV/EBITDA porque es neutral al apalancamiento y a la revalorización (NIC 40). A 14,4x, el valor es CLP 2.951 por acción. Mallplaza transa a 16,8x LTM: 7% sobre la mediana chilena, bajo Parque Arauco (18,4x) y 17% sobre el múltiplo ponderado (Figura 31). Excluimos el P/E (CLP 8.644, distorsionado por la revalorización). Los múltiplos usan la deuda neta de Bloomberg (CLP 1.311.569 MM), igual que los pares; el DCF, la DFN de la compañía (CLP 1.285.740 MM).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¿Se justifica la prima? </w:t>
            </w: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Mallplaza transa 29% sobre Cencosud Shopping (13,0x), pero su EBITDA por m² es solo 1,8% mayor (CLP 59.451 vs 58.384 en el 2T26; ver Industria). Solo al múltiplo de Parque Arauco (18,4x) la acción valdría más que su precio (CLP 3.967), y Parque Arauco opera con una DFN/EBITDA de 5,7x y un pipeline propio, que no son comparables. Al múltiplo de Cencosud valdría CLP 2.621.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El desacuerdo está en la tasa, no en los flujos. </w:t>
            </w: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El consenso de 13 analistas proyecta un EBITDA NTM de CLP 617.130 MM, ~3% sobre nuestro forecast para el mismo período (~CLP 598.850 MM). Nuestros flujos no son más pesimistas que los del mercado: la diferencia de valor viene de la tasa de descuento que el precio implica.</w:t>
            </w:r>
          </w:p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35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30" w:before="2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Figura 30: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Múltiplos de los pares vs tasa local</w:t>
            </w:r>
          </w:p>
          <w:tbl>
            <w:tblPr>
              <w:tblW w:type="dxa" w:w="355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550"/>
            </w:tblGrid>
            <w:tr>
              <w:trPr>
                <w:trHeight w:val="1700" w:hRule="atLeast"/>
              </w:trPr>
              <w:tc>
                <w:tcPr>
                  <w:tcW w:type="dxa" w:w="3550"/>
                  <w:tcBorders>
                    <w:top w:val="dashed" w:color="9AA3B5" w:sz="6"/>
                    <w:left w:val="dashed" w:color="9AA3B5" w:sz="6"/>
                    <w:bottom w:val="dashed" w:color="9AA3B5" w:sz="6"/>
                    <w:right w:val="dashed" w:color="9AA3B5" w:sz="6"/>
                  </w:tcBorders>
                  <w:shd w:fill="F7F8FB" w:color="auto" w:val="clear"/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i/>
                      <w:iCs/>
                      <w:color w:val="5F5F5F"/>
                      <w:sz w:val="14"/>
                      <w:szCs w:val="14"/>
                    </w:rPr>
                    <w:t xml:space="preserve">Gráfico pendiente (falta la NTN-B de Brasil, Bloomberg).</w:t>
                  </w:r>
                </w:p>
              </w:tc>
            </w:tr>
          </w:tbl>
          <w:p>
            <w:pPr>
              <w:spacing w:after="30" w:before="9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Figura 31: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Valor implícito por múltiplo de cada par vs DCF y precio (CLP por acción)</w:t>
            </w:r>
          </w:p>
          <w:p>
            <w:pPr>
              <w:spacing w:after="20" w:before="0" w:line="240" w:lineRule="auto"/>
            </w:pPr>
            <w:r>
              <w:drawing>
                <wp:inline distT="0" distB="0" distL="0" distR="0">
                  <wp:extent cx="2257425" cy="1962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7425" cy="1962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Precio objetivo = 80% DCF + 20% EV/EBITDA LTM. P/E excluido (incluye revalorización). Fuente: Bloomberg (30-09-26); análisis del equipo.</w:t>
            </w:r>
          </w:p>
        </w:tc>
      </w:tr>
      <w:tr>
        <w:trPr>
          <w:cantSplit/>
        </w:trPr>
        <w:tc>
          <w:tcPr>
            <w:tcW w:type="dxa" w:w="6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9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SENSIBILIDAD Y RIESGOS DE LA VALUACIÓN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Sensibilidad. </w:t>
            </w: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Con la WACC ±100 pb y g entre 2,5% y 4,0%, el DCF va de CLP 1.379 a 2.329 (Figura 25; Anexo [F]), y el peor caso operacional histórico le resta 10,0% (Figura 24); justificar el precio exigiría una WACC 285 pb menor (Figura 33). Todos los múltiplos quedan bajo el precio: EV/EBITDA LTM CLP 2.951 (−17%), NTM CLP 2.914 (−18%), EV/EBIT CLP 3.098 (−13%), P/BV CLP 3.171 (−11%) y la mediana chilena sola CLP 3.294 (−7%) (Figura 27).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Robustez. </w:t>
            </w: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El APV da CLP 1.894 (2% sobre el DCF); con el bono en pesos como Rf, el precio objetivo sube a ~CLP 2.439 (−31%; Anexo [Z]); y con un objetivo de DFN/EBITDA entre 2,36x y 4,0x, el DCF va de CLP 1.819 a 1.894.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Escenarios. </w:t>
            </w: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Combinamos los supuestos más favorables y más adversos. En el caso bull, un g menor sube el valor porque el RONIC está bajo la WACC. Ni el bull ni la tasa de los tasadores alcanzan el precio:</w:t>
            </w:r>
          </w:p>
          <w:tbl>
            <w:tblPr>
              <w:tblW w:type="dxa" w:w="69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050"/>
              <w:gridCol w:w="3450"/>
              <w:gridCol w:w="750"/>
              <w:gridCol w:w="900"/>
              <w:gridCol w:w="750"/>
            </w:tblGrid>
            <w:tr>
              <w:trPr>
                <w:tblHeader/>
              </w:trPr>
              <w:tc>
                <w:tcPr>
                  <w:tcW w:type="dxa" w:w="1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Escenario</w:t>
                  </w:r>
                </w:p>
              </w:tc>
              <w:tc>
                <w:tcPr>
                  <w:tcW w:type="dxa" w:w="34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Supuestos</w:t>
                  </w: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DCF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Precio obj.</w:t>
                  </w: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vs precio</w:t>
                  </w:r>
                </w:p>
              </w:tc>
            </w:tr>
            <w:tr>
              <w:tc>
                <w:tcPr>
                  <w:tcW w:type="dxa" w:w="10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Bear</w:t>
                  </w:r>
                </w:p>
              </w:tc>
              <w:tc>
                <w:tcPr>
                  <w:tcW w:type="dxa" w:w="3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WACC +100 pb; margen EBITDA 75,8% (mínimo histórico)</w:t>
                  </w: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1.402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1.712</w:t>
                  </w: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−51,9%</w:t>
                  </w:r>
                </w:p>
              </w:tc>
            </w:tr>
            <w:tr>
              <w:tc>
                <w:tcPr>
                  <w:tcW w:type="dxa" w:w="10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Base</w:t>
                  </w:r>
                </w:p>
              </w:tc>
              <w:tc>
                <w:tcPr>
                  <w:tcW w:type="dxa" w:w="3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Modelo v2</w:t>
                  </w: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1.857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2.076</w:t>
                  </w: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−41,6%</w:t>
                  </w:r>
                </w:p>
              </w:tc>
            </w:tr>
            <w:tr>
              <w:tc>
                <w:tcPr>
                  <w:tcW w:type="dxa" w:w="10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Bull</w:t>
                  </w:r>
                </w:p>
              </w:tc>
              <w:tc>
                <w:tcPr>
                  <w:tcW w:type="dxa" w:w="3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WACC −100 pb; g 2,5%; margen 81,3% (máximo); impuesto 23% en Chile</w:t>
                  </w: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2.506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2.595</w:t>
                  </w: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−27,0%</w:t>
                  </w:r>
                </w:p>
              </w:tc>
            </w:tr>
            <w:tr>
              <w:tc>
                <w:tcPr>
                  <w:tcW w:type="dxa" w:w="10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Tasadores</w:t>
                  </w:r>
                </w:p>
              </w:tc>
              <w:tc>
                <w:tcPr>
                  <w:tcW w:type="dxa" w:w="3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WACC 8,72% (5,55% real, Nota 11)</w:t>
                  </w: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2.660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2.719</w:t>
                  </w: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−23,5%</w:t>
                  </w:r>
                </w:p>
              </w:tc>
            </w:tr>
          </w:tbl>
          <w:p>
            <w:pPr>
              <w:spacing w:after="60"/>
            </w:pP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Precio objetivo. </w:t>
            </w: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80% × CLP 1.857 + 20% × CLP 2.951 = CLP 2.076, un retorno de −41,6% frente a CLP 3.555 (30-sep-26). Llevar el DCF del 30-jun al 30-sep-26 lo subiría a ~CLP 1.910 y el precio objetivo a ~CLP 2.118 (−40,4%): la recomendación no cambia.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Retorno total e implícitos. </w:t>
            </w: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Con un dividendo esperado de ~CLP 69 por acción (rendimiento de 2,0%), el retorno total esperado es −39,7%. El precio objetivo implica 10,8x EV/EBITDA LTM, un cap rate de 9,3% y 0,94x el valor libro, frente a 16,7x, 6,0% y 1,61x del precio actual (Figura 32).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Catalizadores. </w:t>
            </w: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El UST 10Y en 5,22%, máximo desde 2002, y la Fed subiendo tasas presionan los cap rates de mercado (Riesgos de inversión, FR1). Cada actualización de la tasación con tasas más altas acerca el valor libro a nuestro DCF y quita soporte al múltiplo actual.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Riesgos al alza. </w:t>
            </w: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Una compresión sostenida de los cap rates por mayor demanda institucional por activos defensivos, o una prima estructural para los activos Tier A de Mallplaza (ver Riesgos de inversión).</w:t>
            </w:r>
          </w:p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35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30" w:before="2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Figura 32: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El mercado paga 6,0%; nuestros flujos valen 10,1%</w:t>
            </w:r>
          </w:p>
          <w:p>
            <w:pPr>
              <w:spacing w:after="20" w:before="0" w:line="240" w:lineRule="auto"/>
            </w:pPr>
            <w:r>
              <w:drawing>
                <wp:inline distT="0" distB="0" distL="0" distR="0">
                  <wp:extent cx="2257425" cy="1600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7425" cy="1600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Gran Plaza: hecho posterior, no entra al modelo. Fuente: Mallplaza; Bloomberg; DF; análisis del equipo.</w:t>
            </w:r>
          </w:p>
          <w:p>
            <w:pPr>
              <w:spacing w:after="30" w:before="9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Figura 33: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El precio exige una WACC 285 pb menor</w:t>
            </w:r>
          </w:p>
          <w:p>
            <w:pPr>
              <w:spacing w:after="20" w:before="0" w:line="240" w:lineRule="auto"/>
            </w:pPr>
            <w:r>
              <w:drawing>
                <wp:inline distT="0" distB="0" distL="0" distR="0">
                  <wp:extent cx="2257425" cy="17811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7425" cy="1781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Fuente: análisis del equipo.</w:t>
            </w:r>
          </w:p>
        </w:tc>
      </w:tr>
    </w:tbl>
    <w:p>
      <w:pPr>
        <w:sectPr>
          <w:headerReference w:type="default" r:id="rId7"/>
          <w:footerReference w:type="default" r:id="rId8"/>
          <w:pgSz w:w="11906" w:h="16838" w:orient="portrait"/>
          <w:pgMar w:top="1000" w:right="620" w:bottom="900" w:left="620" w:header="450" w:footer="400" w:gutter="0"/>
          <w:pgNumType/>
          <w:docGrid w:linePitch="360"/>
        </w:sectPr>
      </w:pPr>
    </w:p>
    <w:p>
      <w:pPr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ANEXO [Z]: CONSTRUCCIÓN DE LA WACC</w:t>
      </w:r>
    </w:p>
    <w:p>
      <w:pPr>
        <w:shd w:fill="EEF1F6" w:color="auto" w:val="clear"/>
        <w:spacing w:after="60" w:line="228" w:lineRule="auto"/>
        <w:jc w:val="both"/>
      </w:pPr>
      <w:r>
        <w:rPr>
          <w:rFonts w:ascii="Arial" w:cs="Arial" w:eastAsia="Arial" w:hAnsi="Arial"/>
          <w:color w:val="1A1A1A"/>
          <w:sz w:val="16"/>
          <w:szCs w:val="16"/>
        </w:rPr>
        <w:t xml:space="preserve">La WACC se calcula por período: el D/E converge linealmente desde la estructura actual (20,0%) hasta la objetivo (28,5%, DFN/EBITDA 3,5x) en 2031. El Ke se construye en dólares (Rf del Tesoro de EE.UU. + beta re-apalancada × ERP + CRP ponderado por ingresos) y se convierte a pesos con el diferencial de inflación.</w:t>
      </w:r>
    </w:p>
    <w:p>
      <w:pPr>
        <w:spacing w:after="10"/>
        <w:ind w:left="240"/>
      </w:pPr>
      <w:r>
        <w:rPr>
          <w:rFonts w:ascii="Arial" w:cs="Arial" w:eastAsia="Arial" w:hAnsi="Arial"/>
          <w:b/>
          <w:bCs/>
          <w:color w:val="14284B"/>
          <w:sz w:val="14"/>
          <w:szCs w:val="14"/>
        </w:rPr>
        <w:t xml:space="preserve">βL = βU × [1 + (1 − t) × D/E]  (Hamada)</w:t>
      </w:r>
    </w:p>
    <w:p>
      <w:pPr>
        <w:spacing w:after="10"/>
        <w:ind w:left="240"/>
      </w:pPr>
      <w:r>
        <w:rPr>
          <w:rFonts w:ascii="Arial" w:cs="Arial" w:eastAsia="Arial" w:hAnsi="Arial"/>
          <w:b/>
          <w:bCs/>
          <w:color w:val="14284B"/>
          <w:sz w:val="14"/>
          <w:szCs w:val="14"/>
        </w:rPr>
        <w:t xml:space="preserve">Ke USD = Rf + βL × ERP + CRP ponderado</w:t>
      </w:r>
    </w:p>
    <w:p>
      <w:pPr>
        <w:spacing w:after="10"/>
        <w:ind w:left="240"/>
      </w:pPr>
      <w:r>
        <w:rPr>
          <w:rFonts w:ascii="Arial" w:cs="Arial" w:eastAsia="Arial" w:hAnsi="Arial"/>
          <w:b/>
          <w:bCs/>
          <w:color w:val="14284B"/>
          <w:sz w:val="14"/>
          <w:szCs w:val="14"/>
        </w:rPr>
        <w:t xml:space="preserve">Ke CLP = (1 + Ke USD) × (1 + π Chile) / (1 + π EE.UU.) − 1</w:t>
      </w:r>
    </w:p>
    <w:p>
      <w:pPr>
        <w:spacing w:after="10"/>
        <w:ind w:left="240"/>
      </w:pPr>
      <w:r>
        <w:rPr>
          <w:rFonts w:ascii="Arial" w:cs="Arial" w:eastAsia="Arial" w:hAnsi="Arial"/>
          <w:b/>
          <w:bCs/>
          <w:color w:val="14284B"/>
          <w:sz w:val="14"/>
          <w:szCs w:val="14"/>
        </w:rPr>
        <w:t xml:space="preserve">Kd CLP = (1 + Kd real + spread) × (1 + π Chile) − 1</w:t>
      </w:r>
    </w:p>
    <w:p>
      <w:pPr>
        <w:spacing w:after="10"/>
        <w:ind w:left="240"/>
      </w:pPr>
      <w:r>
        <w:rPr>
          <w:rFonts w:ascii="Arial" w:cs="Arial" w:eastAsia="Arial" w:hAnsi="Arial"/>
          <w:b/>
          <w:bCs/>
          <w:color w:val="14284B"/>
          <w:sz w:val="14"/>
          <w:szCs w:val="14"/>
        </w:rPr>
        <w:t xml:space="preserve">WACC = E/V × Ke CLP + D/V × Kd CLP × (1 − t)</w:t>
      </w:r>
    </w:p>
    <w:p>
      <w:pPr>
        <w:pBdr>
          <w:bottom w:val="single" w:color="E9004B" w:sz="8" w:space="1"/>
        </w:pBdr>
        <w:spacing w:after="50" w:before="14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A. SUPUESTOS DE MERCADO Y ESTRUCTURA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00"/>
        <w:gridCol w:w="2400"/>
        <w:gridCol w:w="3466"/>
      </w:tblGrid>
      <w:tr>
        <w:trPr>
          <w:tblHeader/>
        </w:trPr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Supuesto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Valor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Fuente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Rf: bono del Tesoro EE.UU. 10 años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4,98%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Tasa_WACC (FFCF)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Prima por riesgo de mercado (ERP)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4,14%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Damodaran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Inflación de largo plazo Chile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3,00%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Meta BCCh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Inflación de largo plazo EE.UU. (breakeven 10Y)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2,24%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Bloomberg, jun-26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Tasa de impuesto Chile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27,00%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Ley de la Renta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Kd real: cupón última emisión en UF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3,60%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Mallplaza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Aumento del Kd real por vuelta de DFN/EBITDA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0,25%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Supuesto del equipo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DFN/EBITDA inicial (30-06-26) → objetivo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2,36x → 3,5x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Release 2Q26; supuesto del equipo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Deuda bruta / market cap (estructura actual, MM CLP)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1.579 / 7.906 (miles)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Tasa_WACC (FFCF)</w:t>
            </w:r>
          </w:p>
        </w:tc>
      </w:tr>
    </w:tbl>
    <w:p>
      <w:pPr>
        <w:pBdr>
          <w:bottom w:val="single" w:color="E9004B" w:sz="8" w:space="1"/>
        </w:pBdr>
        <w:spacing w:after="50" w:before="14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B. BETA: PARES DESAPALANCADOS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766"/>
        <w:gridCol w:w="1400"/>
        <w:gridCol w:w="1900"/>
        <w:gridCol w:w="2100"/>
        <w:gridCol w:w="1100"/>
        <w:gridCol w:w="1400"/>
      </w:tblGrid>
      <w:tr>
        <w:trPr>
          <w:tblHeader/>
        </w:trPr>
        <w:tc>
          <w:tcPr>
            <w:tcW w:type="dxa" w:w="27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Empresa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β apalancada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Deuda (MM CLP)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Market cap (MM CLP)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Impuesto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β desapalancada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Parque Arauco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1,250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1.700.507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3.828.031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27%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0,944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Cencosud Shopping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1,075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762.154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3.942.858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27%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0,942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Allos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1,164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960.191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2.712.166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34%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0,944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Iguatemi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0,908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647.397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1.421.560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34%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0,698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IRSA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0,427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625.047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1.218.777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35%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0,320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Multiplan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1,219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191.478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2.959.845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34%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1,169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Mediana (6 pares incluidos)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/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/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/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/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0,9428</w:t>
            </w:r>
          </w:p>
        </w:tc>
      </w:tr>
    </w:tbl>
    <w:p>
      <w:pPr>
        <w:spacing w:after="0" w:before="10" w:line="216" w:lineRule="auto"/>
      </w:pPr>
      <w:r>
        <w:rPr>
          <w:rFonts w:ascii="Arial" w:cs="Arial" w:eastAsia="Arial" w:hAnsi="Arial"/>
          <w:color w:val="5F5F5F"/>
          <w:sz w:val="11"/>
          <w:szCs w:val="11"/>
        </w:rPr>
        <w:t xml:space="preserve">Fuente: Bloomberg (betas), Tasa_WACC. Costa Verde se excluye porque no está en el set de comparables.</w:t>
      </w:r>
    </w:p>
    <w:p>
      <w:pPr>
        <w:pBdr>
          <w:bottom w:val="single" w:color="E9004B" w:sz="8" w:space="1"/>
        </w:pBdr>
        <w:spacing w:after="50" w:before="14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C. RIESGO PAÍS PONDERADO POR INGRESOS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166"/>
        <w:gridCol w:w="2700"/>
        <w:gridCol w:w="2400"/>
        <w:gridCol w:w="2400"/>
      </w:tblGrid>
      <w:tr>
        <w:trPr>
          <w:tblHeader/>
        </w:trPr>
        <w:tc>
          <w:tcPr>
            <w:tcW w:type="dxa" w:w="31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País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Ponderación (ingresos LTM)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CRP (Damodaran)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Aporte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Chile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71,8%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1,04%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0,75%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Perú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17,7%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1,55%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0,27%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Colombia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10,5%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3,70%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0,39%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CRP ponderado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100,0%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/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1,41%</w:t>
            </w:r>
          </w:p>
        </w:tc>
      </w:tr>
    </w:tbl>
    <w:p>
      <w:pPr>
        <w:pBdr>
          <w:bottom w:val="single" w:color="E9004B" w:sz="8" w:space="1"/>
        </w:pBdr>
        <w:spacing w:after="50" w:before="14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D. WACC POR PERÍODO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66"/>
        <w:gridCol w:w="1100"/>
        <w:gridCol w:w="1100"/>
        <w:gridCol w:w="1100"/>
        <w:gridCol w:w="1100"/>
        <w:gridCol w:w="1100"/>
        <w:gridCol w:w="1100"/>
        <w:gridCol w:w="1200"/>
      </w:tblGrid>
      <w:tr>
        <w:trPr>
          <w:tblHeader/>
        </w:trPr>
        <w:tc>
          <w:tcPr>
            <w:tcW w:type="dxa" w:w="28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/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2S26E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2027E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2028E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2029E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2030E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2031E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Terminal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DFN/EBITDA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2,46x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2,67x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2,88x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3,09x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3,29x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3,50x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3,50x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D/E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20,8%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22,3%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23,9%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25,4%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27,0%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28,5%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28,5%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D/V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17,2%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18,2%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19,3%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20,3%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21,2%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22,2%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22,2%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Beta re-apalancada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1,086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1,096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1,107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1,118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1,128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1,139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1,139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Ke USD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10,88%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10,93%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10,97%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11,02%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11,06%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11,10%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11,10%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Ke nominal CLP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11,70%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11,75%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11,79%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11,84%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11,88%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11,93%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11,93%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Kd real (UF) con spread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3,63%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3,68%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3,73%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3,78%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3,83%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3,89%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3,89%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Kd nominal CLP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6,73%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6,79%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6,84%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6,89%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6,95%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7,00%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7,00%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Kd después de impuestos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4,92%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4,96%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4,99%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5,03%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5,07%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5,11%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5,11%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WACC nominal CLP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10,54%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10,51%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10,48%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10,46%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10,44%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10,41%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10,41%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WACC real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7,32%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7,29%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7,26%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7,24%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7,22%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7,20%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7,20%</w:t>
            </w:r>
          </w:p>
        </w:tc>
      </w:tr>
    </w:tbl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25"/>
        <w:gridCol w:w="216"/>
        <w:gridCol w:w="5225"/>
      </w:tblGrid>
      <w:tr>
        <w:trPr>
          <w:cantSplit/>
        </w:trPr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30" w:before="14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Figura Z1: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WACC nominal y D/E por período</w:t>
            </w:r>
          </w:p>
          <w:p>
            <w:pPr>
              <w:spacing w:after="20" w:before="0" w:line="240" w:lineRule="auto"/>
            </w:pPr>
            <w:r>
              <w:drawing>
                <wp:inline distT="0" distB="0" distL="0" distR="0">
                  <wp:extent cx="3314700" cy="1733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14700" cy="1733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Control: la réplica coincide con la hoja WACC del modelo v2 (diferencia 0 pb en todos los períodos). Fuente: Damodaran; Bloomberg; BCCh; análisis del equipo.</w:t>
            </w:r>
          </w:p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14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E. ELECCIÓN DE LA TASA LIBRE DE RIESGO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725"/>
              <w:gridCol w:w="1500"/>
            </w:tblGrid>
            <w:tr>
              <w:trPr>
                <w:tblHeader/>
              </w:trP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Alternativa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Valor</w:t>
                  </w:r>
                </w:p>
              </w:tc>
            </w:tr>
            <w:t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Base del modelo: Rf EE.UU. + CRP Chile, en CLP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6,80%</w:t>
                  </w:r>
                </w:p>
              </w:tc>
            </w:tr>
            <w:t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Bono en pesos 10 años BCCh (30-06-26)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5,43%</w:t>
                  </w:r>
                </w:p>
              </w:tc>
            </w:tr>
            <w:t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Diferencia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137 pb</w:t>
                  </w:r>
                </w:p>
              </w:tc>
            </w:tr>
            <w:t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Efecto en la WACC terminal (diferencia × E/V)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−107 pb</w:t>
                  </w:r>
                </w:p>
              </w:tc>
            </w:tr>
            <w:t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Valor DCF con el bono en pesos (CLP)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2.311</w:t>
                  </w:r>
                </w:p>
              </w:tc>
            </w:tr>
            <w:t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Precio objetivo 80/20 en ese caso (CLP)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2.439</w:t>
                  </w:r>
                </w:p>
              </w:tc>
            </w:tr>
          </w:tbl>
          <w:p>
            <w:pPr>
              <w:spacing w:after="0" w:before="80" w:line="216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4"/>
                <w:szCs w:val="14"/>
              </w:rPr>
              <w:t xml:space="preserve">Por qué UST + CRP y no el bono en pesos: el bono local ya incluye el riesgo Chile, y sumarle el CRP lo contaría dos veces; además, un 28% de los ingresos viene de Perú y Colombia, cuyo riesgo se agrega con el CRP ponderado.</w:t>
            </w:r>
          </w:p>
          <w:p>
            <w:pPr>
              <w:spacing w:after="0" w:before="30" w:line="216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4"/>
                <w:szCs w:val="14"/>
              </w:rPr>
              <w:t xml:space="preserve">Es la elección más conservadora: con el bono en pesos el precio objetivo sube a ~CLP 2.439, todavía 31% bajo el precio de CLP 3.555. La recomendación no cambia.</w:t>
            </w:r>
          </w:p>
          <w:p>
            <w:pPr>
              <w:spacing w:after="0" w:before="30" w:line="216" w:lineRule="auto"/>
              <w:jc w:val="both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Fuente: BCCh, Informativo Diario 2-jul-26; réplica del DCF v2 con la WACC desplazada en todos los períodos.</w:t>
            </w:r>
          </w:p>
        </w:tc>
      </w:tr>
    </w:tbl>
    <w:sectPr>
      <w:headerReference w:type="default" r:id="rId9"/>
      <w:footerReference w:type="default" r:id="rId10"/>
      <w:pgSz w:w="11906" w:h="16838" w:orient="portrait"/>
      <w:pgMar w:top="1000" w:right="620" w:bottom="900" w:left="620" w:header="450" w:footer="400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F5F5F"/>
        <w:sz w:val="14"/>
        <w:szCs w:val="14"/>
      </w:rPr>
      <w:t xml:space="preserve">Página </w:t>
    </w:r>
    <w:r>
      <w:rPr>
        <w:rFonts w:ascii="Arial" w:cs="Arial" w:eastAsia="Arial" w:hAnsi="Arial"/>
        <w:color w:val="5F5F5F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F5F5F"/>
        <w:sz w:val="14"/>
        <w:szCs w:val="14"/>
      </w:rPr>
      <w:t xml:space="preserve">A-</w:t>
    </w:r>
    <w:r>
      <w:rPr>
        <w:rFonts w:ascii="Arial" w:cs="Arial" w:eastAsia="Arial" w:hAnsi="Arial"/>
        <w:color w:val="5F5F5F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5D9E0" w:sz="4" w:space="2"/>
      </w:pBdr>
      <w:jc w:val="right"/>
    </w:pPr>
    <w:r>
      <w:rPr>
        <w:rFonts w:ascii="Arial" w:cs="Arial" w:eastAsia="Arial" w:hAnsi="Arial"/>
        <w:color w:val="5F5F5F"/>
        <w:sz w:val="14"/>
        <w:szCs w:val="14"/>
      </w:rPr>
      <w:t xml:space="preserve">Mallplaza (Plaza S.A.)  |  CFA Institute Research Challenge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5D9E0" w:sz="4" w:space="2"/>
      </w:pBdr>
      <w:jc w:val="right"/>
    </w:pPr>
    <w:r>
      <w:rPr>
        <w:rFonts w:ascii="Arial" w:cs="Arial" w:eastAsia="Arial" w:hAnsi="Arial"/>
        <w:color w:val="5F5F5F"/>
        <w:sz w:val="14"/>
        <w:szCs w:val="14"/>
      </w:rPr>
      <w:t xml:space="preserve">Mallplaza (Plaza S.A.)  |  CFA Institute Research Challenge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6"/>
        <w:szCs w:val="16"/>
      </w:rPr>
    </w:rPrDefault>
    <w:pPrDefault>
      <w:pPr>
        <w:spacing w:after="0" w:before="0" w:line="2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image" Target="media/bb348fe2cf624c278d1fb4a8a6a4a69d7e3d979c.png"/><Relationship Id="rId12" Type="http://schemas.openxmlformats.org/officeDocument/2006/relationships/image" Target="media/f4b95aa413771b1f08b7f62face5117b70aaab8f.png"/><Relationship Id="rId13" Type="http://schemas.openxmlformats.org/officeDocument/2006/relationships/image" Target="media/ed3129060ce94d3c1398fcbf8b9268a320428b69.png"/><Relationship Id="rId14" Type="http://schemas.openxmlformats.org/officeDocument/2006/relationships/image" Target="media/a14461c60f2f31bfdc29315896668970d5d2ddcf.png"/><Relationship Id="rId15" Type="http://schemas.openxmlformats.org/officeDocument/2006/relationships/image" Target="media/2aa57cef7da9e4d5005f807e2f30d9cddf02ab19.png"/><Relationship Id="rId16" Type="http://schemas.openxmlformats.org/officeDocument/2006/relationships/image" Target="media/cfbf5acba453ccf3377ff247a69f09666e6aff6b.png"/><Relationship Id="rId17" Type="http://schemas.openxmlformats.org/officeDocument/2006/relationships/image" Target="media/6d343a0f77820887ad9dd1c143c19f131bf77a7f.pn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2026-10-14T04:20:58.104Z</dcterms:created>
  <dcterms:modified xsi:type="dcterms:W3CDTF">2026-10-14T04:20:58.108Z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