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con ingresos casi tan predecibles como un bono (81,4% arriendos, 93% de renta fija y reajustada en UF en Chile) y un margen EBITDA de 80,5%. Es un gran negocio, pero a CLP 3.555 el mercado lo paga como si sus flujos estuvieran casi libres de riesgo. Ponderando 80% nuestro DCF y 20% los múltiplos de pares, llegamos a un precio objetivo de CLP 2.076 y recomendamos VENDER. El desacuerdo con el mercado no está en los flujos, sino en la tasa: el precio exige una WACC de 7,56%, 285 pb bajo nuestro 10,41%, y un cap rate de 6,0% frente al 10,1% que implican nuestros flujos. Crecer no rescata el precio, porque cada m² nuevo rinde 5,0% real frente a una WACC real de 7,2%, y ni el escenario bull (CLP 2.627) ni la tasa de los tasadores (CLP 2.719) alcanzan la cotización. El riesgo principal para la tesis es una nueva compresión de las tasas largas.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666"/>
        <w:gridCol w:w="2666"/>
        <w:gridCol w:w="2666"/>
        <w:gridCol w:w="2666"/>
      </w:tblGrid>
      <w:tr>
        <w:tc>
          <w:tcPr>
            <w:tcW w:type="dxa" w:w="266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2.076</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66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11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11906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906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AL RITMO DEL CONSUMO, CON PRESIÓN EN 2027-2028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keepNext w:val="false"/>
              <w:spacing w:after="20" w:before="0" w:line="240" w:lineRule="auto"/>
              <w:jc w:val="center"/>
            </w:pPr>
            <w:r>
              <w:drawing>
                <wp:inline distT="0" distB="0" distL="0" distR="0">
                  <wp:extent cx="13430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430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tbl>
      <w:tblPr>
        <w:tblpPr w:leftFromText="0" w:rightFromText="0" w:topFromText="0" w:bottomFromText="0" w:tblpX="7116" w:tblpY="56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tbl>
      <w:tblPr>
        <w:tblpPr w:leftFromText="0" w:rightFromText="0" w:topFromText="0" w:bottomFromText="0" w:tblpX="7116" w:tblpY="2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MALLPLAZA CONVIERTE SU ESCALA EN EL M² MÁS PRODUCTIVO DEL TRÍO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tbl>
      <w:tblPr>
        <w:tblpPr w:leftFromText="0" w:rightFromText="0" w:topFromText="0" w:bottomFromText="0" w:tblpX="7116" w:tblpY="105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p>
      <w:pPr>
        <w:keepNext/>
        <w:pBdr>
          <w:bottom w:val="single" w:color="14284B" w:sz="18" w:space="2"/>
        </w:pBdr>
        <w:spacing w:after="80" w:before="120"/>
        <w:ind w:right="3766"/>
      </w:pPr>
      <w:r>
        <w:rPr>
          <w:rFonts w:ascii="Arial" w:cs="Arial" w:eastAsia="Arial" w:hAnsi="Arial"/>
          <w:b/>
          <w:bCs/>
          <w:color w:val="14284B"/>
          <w:sz w:val="30"/>
          <w:szCs w:val="30"/>
        </w:rPr>
        <w:t xml:space="preserve">AMBIENTAL, SOCIAL Y GOBIERNO CORPORATIVO (ESG)</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puntos) de la industria a nivel global y de su competencia directa en Chile (Figura 7), pero esto se contrarresta con el perfil “verde” de la empresa a nivel local, ya que figura como una de las principales REM a nivel regional.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tbl>
      <w:tblPr>
        <w:tblpPr w:leftFromText="0" w:rightFromText="0" w:topFromText="0" w:bottomFromText="0" w:tblpX="7116" w:tblpY="-81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AMBIENTAL</w:t>
      </w:r>
    </w:p>
    <w:tbl>
      <w:tblPr>
        <w:tblpPr w:leftFromText="0" w:rightFromText="0" w:topFromText="0" w:bottomFromText="0" w:tblpX="7116" w:tblpY="165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20288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288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de avance 2025). </w:t>
      </w:r>
      <w:r>
        <w:rPr>
          <w:rFonts w:ascii="Arial" w:cs="Arial" w:eastAsia="Arial" w:hAnsi="Arial"/>
          <w:b/>
          <w:bCs/>
          <w:i w:val="false"/>
          <w:iCs w:val="false"/>
          <w:color w:val="14284B"/>
          <w:sz w:val="16"/>
          <w:szCs w:val="16"/>
        </w:rPr>
        <w:t xml:space="preserve">Índices de sostenibilidad:</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Global Sustainability Yearbook;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Plaza se ha propuesto disminuir en un 22% la intensidad energética del gasto común para el 2035 (35,5% de avance 2025; Figura 8). La meta propuesta de eficiencia eléctrica es que el 100% sea de energías renovables en 2026 (89,3% de avance). En 2025 la proporción anual fue 0,16 MWh/m² (Energía/GLA), siendo 0,14 renovable y 0,014 no renovable (Figura 9).</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Fijó el objetivo de disminuir en un 30% el consumo directo de agua para 2025, lo que se logró en un 100,9% esto se ve influenciado por sus certificaciones LEED y EDGE. En 2025 la proporción anual fue 0,77 m³/m² (Agua/GLA) y 0,66 m³/m²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de avance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Plaza propuso un 60% de valorización de residuos generados el 2025 (94,8% de avance;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Gestión climática:</w:t>
      </w:r>
      <w:r>
        <w:rPr>
          <w:rFonts w:ascii="Arial" w:cs="Arial" w:eastAsia="Arial" w:hAnsi="Arial"/>
          <w:i w:val="false"/>
          <w:iCs w:val="false"/>
          <w:color w:val="1A1A1A"/>
          <w:sz w:val="16"/>
          <w:szCs w:val="16"/>
        </w:rPr>
        <w:t xml:space="preserve"> 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116" w:tblpY="39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8, figura 8.3),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8,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tbl>
      <w:tblPr>
        <w:tblpPr w:leftFromText="0" w:rightFromText="0" w:topFromText="0" w:bottomFromText="0" w:tblpX="7116" w:tblpY="27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y hay una brecha salarial media entre hombres y mujeres de 28% a nivel regional. La meta al 2028 es que el 60% de los establecimientos estén certificados como espacios inclusivos, además Plaza obtuvo “Sello Mayor”, distinción que certifica la adaptación física y operacional para las personas mayores.</w:t>
      </w:r>
    </w:p>
    <w:p>
      <w:pPr>
        <w:keepNext/>
        <w:pBdr>
          <w:bottom w:val="single" w:color="E9004B" w:sz="8" w:space="1"/>
        </w:pBdr>
        <w:spacing w:after="50" w:before="110"/>
        <w:ind w:right="3766"/>
      </w:pPr>
      <w:r>
        <w:rPr>
          <w:rFonts w:ascii="Arial" w:cs="Arial" w:eastAsia="Arial" w:hAnsi="Arial"/>
          <w:b/>
          <w:bCs/>
          <w:color w:val="14284B"/>
          <w:sz w:val="16"/>
          <w:szCs w:val="16"/>
        </w:rPr>
        <w:t xml:space="preserve">GOBIERNO CORPORATIVO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En 2025 el Directorio compuesto por 9 miembros (sólo uno es catalogado como independiente; Figura 11 y Anexo 8, figura 8.2)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Accionistas:</w:t>
      </w:r>
      <w:r>
        <w:rPr>
          <w:rFonts w:ascii="Arial" w:cs="Arial" w:eastAsia="Arial" w:hAnsi="Arial"/>
          <w:i w:val="false"/>
          <w:iCs w:val="false"/>
          <w:color w:val="1A1A1A"/>
          <w:sz w:val="16"/>
          <w:szCs w:val="16"/>
        </w:rPr>
        <w:t xml:space="preserve"> Plaza tiene un modelo de control concentrado, donde es controlado por Falabella S.A. por medio de su filial Desarrollos Inmobiliarios SpA (53,05%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8, sección 3).</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tbl>
      <w:tblPr>
        <w:tblpPr w:leftFromText="0" w:rightFromText="0" w:topFromText="0" w:bottomFromText="0" w:tblpX="711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12). Cerca de dos tercios del alza de 29% en Chile vino de una menor tasa de descuento en la tasación, no de un mayor NOI.</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13), mantuvo un margen de 59–62% en 2022–2025, mientras la utilidad neta varió más de cuatro veces. El FFO excluye el reajuste UF de la deuda (CLP 44 mil MM, 11% del FFO); la utilidad distribuible lo incluye y es nuestra ancla conservadora de utilidades.</w:t>
      </w:r>
    </w:p>
    <w:tbl>
      <w:tblPr>
        <w:tblpPr w:leftFromText="0" w:rightFromText="0" w:topFromText="0" w:bottomFromText="0" w:tblpX="7116" w:tblpY="76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reportado de 7,4% en 1S26 baja a cerca de 3,0% real (Figura 14). Chile creció 2,8% tras un reajuste UF de 3,1% (5,1% en 2025); Perú, 4,5% pese a que la ocupación bajó a 93,8%; y Colombia solo cerca de 1% una vez descontadas una apreciación del COP de 7,5% y una inflación de 6,1%.</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apalancamiento operativo se agotó</w:t>
      </w:r>
    </w:p>
    <w:tbl>
      <w:tblPr>
        <w:tblpPr w:leftFromText="0" w:rightFromText="0" w:topFromText="0" w:bottomFromText="0" w:tblpX="7116" w:tblpY="28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el techo es la política, no la liquidez</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15).</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18).</w:t>
      </w:r>
    </w:p>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tbl>
      <w:tblPr>
        <w:tblpPr w:leftFromText="0" w:rightFromText="0" w:topFromText="0" w:bottomFromText="0" w:tblpX="7116" w:tblpY="33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16).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17); refinanciar la serie S (1,32% efectivo) a la tasa de la última emisión (4,33%) sumaría cerca de CLP 4,9 mil MM al año. La liquidez es holgada: a junio de 2026 la razón corriente era 2,50x y la caja cubría 1,71x los pasivos corrientes.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tbl>
      <w:tblPr>
        <w:tblpPr w:leftFromText="0" w:rightFromText="0" w:topFromText="0" w:bottomFromText="0" w:tblpX="7116" w:tblpY="10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Tras el pipeline, la expansión mantiene el capex cerca de CLP 150 mil MM al año mientras el apalancamiento sube a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gastados en 1S26; el apalancamiento 2024A incluye un mes de EBITDA de Perú. Fuente: EEFF (CMF); release 2T26 (pipeline); caso base de valoración (Anexos 9 y 13).</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18);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tbl>
      <w:tblPr>
        <w:tblpPr w:leftFromText="0" w:rightFromText="0" w:topFromText="0" w:bottomFromText="0" w:tblpX="7116" w:tblpY="9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NINGÚN MÉTODO ALCANZA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19).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tbl>
      <w:tblPr>
        <w:tblpPr w:leftFromText="0" w:rightFromText="0" w:topFromText="0" w:bottomFromText="0" w:tblpX="7116" w:tblpY="-40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Figura 19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tbl>
      <w:tblPr>
        <w:tblpPr w:leftFromText="0" w:rightFromText="0" w:topFromText="0" w:bottomFromText="0" w:tblpX="7116" w:tblpY="31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Ningún método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tbl>
      <w:tblPr>
        <w:tblpPr w:leftFromText="0" w:rightFromText="0" w:topFromText="0" w:bottomFromText="0" w:tblpX="7116" w:tblpY="34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A CLP 3.555 el patrimonio rinde casi lo mismo que la deuda</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Aquí aparece la primera señal: a CLP 3.555 el patrimonio rinde ~4,4% real, apenas 80 pb sobre el costo real de la deuda de la propia compañía (Figura 20). El mercado está pagando por la acción casi como si fuera un bono.</w:t>
      </w:r>
    </w:p>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21). Son supuestos que el equipo puede defender línea a línea (Anexo 16).</w:t>
      </w:r>
    </w:p>
    <w:tbl>
      <w:tblPr>
        <w:tblpPr w:leftFromText="0" w:rightFromText="0" w:topFromText="0" w:bottomFromText="0" w:tblpX="7116" w:tblpY="1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Capital de trabajo: un supuesto que no mueve el precio (±1,2%)</w:t>
            </w:r>
          </w:p>
          <w:p>
            <w:pPr>
              <w:keepNext w:val="false"/>
              <w:spacing w:after="20" w:before="0" w:line="240" w:lineRule="auto"/>
              <w:jc w:val="center"/>
            </w:pPr>
            <w:r>
              <w:drawing>
                <wp:inline distT="0" distB="0" distL="0" distR="0">
                  <wp:extent cx="14668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4668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EEFF Mallplaza;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22). Suponer más crecimiento no cerraría la brecha con el precio; la agrandaría.</w:t>
      </w:r>
    </w:p>
    <w:tbl>
      <w:tblPr>
        <w:tblpPr w:leftFromText="0" w:rightFromText="0" w:topFromText="0" w:bottomFromText="0" w:tblpX="7116" w:tblpY="75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Abajo: valor terminal relativo según el RONIC.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23).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tbl>
      <w:tblPr>
        <w:tblpPr w:leftFromText="0" w:rightFromText="0" w:topFromText="0" w:bottomFromText="0" w:tblpX="711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24): confirman que la acción está cara, y la magnitud la da el DCF. Excluimos el P/E (CLP 8.644), distorsionado por la revalorización de propiedades.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tbl>
      <w:tblPr>
        <w:tblpPr w:leftFromText="0" w:rightFromText="0" w:topFromText="0" w:bottomFromText="0" w:tblpX="7116" w:tblpY="38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LTM. P/E excluido (incluye revalorización). Fuente: Bloomberg (30-09-26);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de 6,0%, frente a 10,1% en nuestro DCF, 6,4% en los pares chilenos y 7,5% a valor libro (Figura 25). El mercado paga 1,61 veces un patrimonio que ya está a valor razonable, tasado con una tasa real de ~5,55% (Nota 11): paga más que los propios tasadores. Para justificar CLP 3.555 la WACC tendría que ser 285 pb menor (Figura 26); incluso con la tasa de los tasadores, el DCF sería CLP 2.660.</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En un caso bear (WACC +100 pb y el margen trimestral mínimo de 75,8%) el precio objetivo cae a CLP 1.713; en un caso bull que suma WACC −100 pb, g de 2,5%, el margen trimestral máximo de 81,3% y la rebaja del impuesto a 23%, sube a CLP 2.627, todavía 26% bajo el precio. El APV (CLP 1.894), una Rf basada en el bono en pesos (~CLP 2.439) y otros objetivos de deuda (DCF de CLP 1.819 a 1.894) llevan a la misma conclusión (Anexo 18).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tbl>
      <w:tblPr>
        <w:tblpPr w:leftFromText="0" w:rightFromText="0" w:topFromText="0" w:bottomFromText="0" w:tblpX="7116" w:tblpY="18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El mercado paga 6,0%; nuestros flujos valen 10,1%</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Gran Plaza: hecho posterior, no entra al modelo. Fuente: Mallplaza; Bloomberg; DF;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(+5,1% al precio objetivo, aún no incluida) y la clasificación AAA, que probablemente quedaría bajo presión con 3,5x de DFN/EBITDA.</w:t>
      </w:r>
    </w:p>
    <w:p>
      <w:pPr>
        <w:keepNext w:val="false"/>
        <w:spacing w:before="12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precio exige una WACC 285 pb menor</w:t>
            </w:r>
          </w:p>
          <w:p>
            <w:pPr>
              <w:keepNext w:val="false"/>
              <w:spacing w:after="20" w:before="0" w:line="240" w:lineRule="auto"/>
              <w:jc w:val="center"/>
            </w:pPr>
            <w:r>
              <w:drawing>
                <wp:inline distT="0" distB="0" distL="0" distR="0">
                  <wp:extent cx="33147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14700" cy="23526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análisis del equipo.</w:t>
            </w:r>
          </w:p>
        </w:tc>
        <w:tc>
          <w:tcPr>
            <w:tcW w:type="dxa" w:w="216"/>
            <w:tcBorders>
              <w:top w:val="none" w:color="FFFFFF" w:sz="0"/>
              <w:left w:val="none" w:color="FFFFFF" w:sz="0"/>
              <w:bottom w:val="none" w:color="FFFFFF" w:sz="0"/>
              <w:right w:val="none" w:color="FFFFFF" w:sz="0"/>
            </w:tcBorders>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pP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27 clasifica cada riesgo según su probabilidad y su impacto sobre el valor por acción (Figuras 28 a 26). Los riesgos que no se pudieron cuantificar se clasifican según el análisis cualitativo del equipo sobre la empresa.</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28).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28).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29).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30).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28).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a un alza de la UF (CLP por acción)</w:t>
            </w:r>
          </w:p>
          <w:p>
            <w:pPr>
              <w:keepNext w:val="false"/>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2763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keepNext w:val="false"/>
        <w:spacing w:before="1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0666"/>
      </w:tblGrid>
      <w:tr>
        <w:trPr>
          <w:cantSplit/>
        </w:trPr>
        <w:tc>
          <w:tcPr>
            <w:tcW w:type="dxa" w:w="10666"/>
            <w:tcBorders>
              <w:top w:val="none" w:color="FFFFFF" w:sz="0"/>
              <w:left w:val="none" w:color="FFFFFF" w:sz="0"/>
              <w:bottom w:val="none" w:color="FFFFFF" w:sz="0"/>
              <w:right w:val="none" w:color="FFFFFF" w:sz="0"/>
            </w:tcBorders>
            <w:vAlign w:val="top"/>
          </w:tcPr>
          <w:p>
            <w:pPr>
              <w:keepNext w:val="false"/>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PENDIENTE DE REDACCIÓN</w:t>
                  </w:r>
                </w:p>
                <w:p>
                  <w:pPr>
                    <w:keepNext w:val="false"/>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keepNext w:val="false"/>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pPr>
                    <w:keepNext w:val="false"/>
                  </w:pPr>
                </w:p>
              </w:tc>
              <w:tc>
                <w:tcPr>
                  <w:tcW w:type="dxa" w:w="3550"/>
                  <w:tcBorders>
                    <w:top w:val="none" w:color="FFFFFF" w:sz="0"/>
                    <w:left w:val="none" w:color="FFFFFF" w:sz="0"/>
                    <w:bottom w:val="none" w:color="FFFFFF" w:sz="0"/>
                    <w:right w:val="none" w:color="FFFFFF" w:sz="0"/>
                  </w:tcBorders>
                  <w:vAlign w:val="top"/>
                </w:tcPr>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spacing w:before="30"/>
                  </w:pPr>
                  <w:r>
                    <w:rPr>
                      <w:rFonts w:ascii="Arial" w:cs="Arial" w:eastAsia="Arial" w:hAnsi="Arial"/>
                      <w:color w:val="5F5F5F"/>
                      <w:sz w:val="11"/>
                      <w:szCs w:val="11"/>
                    </w:rPr>
                    <w:t xml:space="preserve">Fuente: modelo de valoración v2; Bloomberg (rango 52 semanas); análisis del equipo.</w:t>
                  </w:r>
                </w:p>
              </w:tc>
            </w:tr>
          </w:tbl>
          <w:p>
            <w:pPr>
              <w:keepNext w:val="false"/>
            </w:pP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keepNext w:val="false"/>
              <w:keepLines/>
              <w:spacing w:after="20" w:before="90" w:line="240"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r>
              <w:br/>
            </w: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7430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r>
              <w:br/>
            </w: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5144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keepNext w:val="false"/>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keepNext w:val="false"/>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Incumplimientos de la legislación y normativas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p>
            <w:pPr>
              <w:keepNext w:val="false"/>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1.379</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keepNext w:val="false"/>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keepNext w:val="false"/>
        <w:pBdr>
          <w:bottom w:val="single" w:color="14284B" w:sz="18" w:space="2"/>
        </w:pBdr>
        <w:spacing w:after="80" w:before="26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1.847</w:t>
                  </w:r>
                </w:p>
              </w:tc>
            </w:tr>
          </w:tbl>
          <w:p/>
        </w:tc>
      </w:tr>
    </w:tbl>
    <w:p>
      <w:pPr>
        <w:keepNext w:val="false"/>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2.439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keepNext w:val="false"/>
      </w:pPr>
      <w:r>
        <w:br w:type="page"/>
      </w: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28–30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+2,4% del valor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2.076 a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9"/>
      <w:footerReference w:type="default" r:id="rId10"/>
      <w:type w:val="nextPage"/>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4ba9315e797149d5131110a457c52ed8e3f19d3.png"/><Relationship Id="rId12" Type="http://schemas.openxmlformats.org/officeDocument/2006/relationships/image" Target="media/34532f7c30c17d6314684a916c3bfde3999b7416.png"/><Relationship Id="rId13" Type="http://schemas.openxmlformats.org/officeDocument/2006/relationships/image" Target="media/7740e404b19cbf777a033b14c42409a022747a72.png"/><Relationship Id="rId14" Type="http://schemas.openxmlformats.org/officeDocument/2006/relationships/image" Target="media/f15c089be8e0d753539f6f9eeefa3fe9c0bc4f68.png"/><Relationship Id="rId15" Type="http://schemas.openxmlformats.org/officeDocument/2006/relationships/image" Target="media/0cebf95ed6b1035d4fc1453eaa063682bfc6d832.png"/><Relationship Id="rId16" Type="http://schemas.openxmlformats.org/officeDocument/2006/relationships/image" Target="media/b21d50f01ceb50050bb1fcd3d7e05774045c60c5.png"/><Relationship Id="rId17" Type="http://schemas.openxmlformats.org/officeDocument/2006/relationships/image" Target="media/ed411ba3c606390f872c40f1b4caf70649f76480.png"/><Relationship Id="rId18" Type="http://schemas.openxmlformats.org/officeDocument/2006/relationships/image" Target="media/bb229cbba7c93bbcdce30a13122f93af2ad5370c.png"/><Relationship Id="rId19" Type="http://schemas.openxmlformats.org/officeDocument/2006/relationships/image" Target="media/8fe419fd582c8d631f848117014dd8fdfe47e661.png"/><Relationship Id="rId20" Type="http://schemas.openxmlformats.org/officeDocument/2006/relationships/image" Target="media/4bc2b50fc361b46958993af72b6fed0f46eec7a4.png"/><Relationship Id="rId21" Type="http://schemas.openxmlformats.org/officeDocument/2006/relationships/image" Target="media/b0111e7433e81502552964a66525843934b6bbcb.png"/><Relationship Id="rId22" Type="http://schemas.openxmlformats.org/officeDocument/2006/relationships/image" Target="media/3ffdba50826c0f47161d8972132ca5b20b0dbd4e.png"/><Relationship Id="rId23" Type="http://schemas.openxmlformats.org/officeDocument/2006/relationships/image" Target="media/7d8204fda84a881810f270fea79de3fb869b95ea.png"/><Relationship Id="rId24" Type="http://schemas.openxmlformats.org/officeDocument/2006/relationships/image" Target="media/1c1b905e7784077b546c946da99ba143a175872b.png"/><Relationship Id="rId25" Type="http://schemas.openxmlformats.org/officeDocument/2006/relationships/image" Target="media/c56e3105f1791428290fa44aea05f2c406719a25.png"/><Relationship Id="rId26" Type="http://schemas.openxmlformats.org/officeDocument/2006/relationships/image" Target="media/78fd8a3b95d09da84d6f02bcf7058100a332498a.png"/><Relationship Id="rId27" Type="http://schemas.openxmlformats.org/officeDocument/2006/relationships/image" Target="media/1d9a00e71859a315af64a6732f0ba93bf8e1e282.png"/><Relationship Id="rId28" Type="http://schemas.openxmlformats.org/officeDocument/2006/relationships/image" Target="media/b6ad38b50f96473e1c95db300a0891d50e013037.png"/><Relationship Id="rId29" Type="http://schemas.openxmlformats.org/officeDocument/2006/relationships/image" Target="media/04fb2f47d0c2a10e8504a929c26d8d31ae4b5144.png"/><Relationship Id="rId30" Type="http://schemas.openxmlformats.org/officeDocument/2006/relationships/image" Target="media/c7060131278eba50ab0a6b4e4b2960b3ce4706aa.png"/><Relationship Id="rId31" Type="http://schemas.openxmlformats.org/officeDocument/2006/relationships/image" Target="media/03d5d8833b5c2cb5bd07e46a37d802973eaa624a.png"/><Relationship Id="rId32" Type="http://schemas.openxmlformats.org/officeDocument/2006/relationships/image" Target="media/e2ccf62f48e92e82e3d897a5379bf2c580267fad.png"/><Relationship Id="rId33" Type="http://schemas.openxmlformats.org/officeDocument/2006/relationships/image" Target="media/0897f311e5cbffecbbe06a7ec01f09ab8e5e0710.png"/><Relationship Id="rId34" Type="http://schemas.openxmlformats.org/officeDocument/2006/relationships/image" Target="media/6126286bee20cf8b01464e351d7a26ba2dd68ffb.png"/><Relationship Id="rId35" Type="http://schemas.openxmlformats.org/officeDocument/2006/relationships/image" Target="media/3964fb994282e9090b06f98a92091ef0c025b273.png"/><Relationship Id="rId36" Type="http://schemas.openxmlformats.org/officeDocument/2006/relationships/image" Target="media/c186a4abce57fb872cd303c60ab1117ebc25455f.png"/><Relationship Id="rId37" Type="http://schemas.openxmlformats.org/officeDocument/2006/relationships/image" Target="media/806bcde468984aadc88cffb24a22441c8f646a4a.png"/><Relationship Id="rId38" Type="http://schemas.openxmlformats.org/officeDocument/2006/relationships/image" Target="media/bf577d13a0a682b653e02a9c3ca9b3cb35eae0f3.png"/><Relationship Id="rId39" Type="http://schemas.openxmlformats.org/officeDocument/2006/relationships/image" Target="media/6e4680ecbf0aa76ff00a7a0ea476ccf717a865f6.png"/><Relationship Id="rId40" Type="http://schemas.openxmlformats.org/officeDocument/2006/relationships/image" Target="media/4609d9854ebb5b18f53a96249b39f91c7e2c04ad.png"/><Relationship Id="rId41" Type="http://schemas.openxmlformats.org/officeDocument/2006/relationships/image" Target="media/3b142e586c3e5210e292c0bd5ee719159683478e.png"/><Relationship Id="rId42" Type="http://schemas.openxmlformats.org/officeDocument/2006/relationships/image" Target="media/438682b6a2423995622f6a04ae6a9ebde6b1b73c.png"/><Relationship Id="rId43" Type="http://schemas.openxmlformats.org/officeDocument/2006/relationships/image" Target="media/ff2104c08e4ce6fa65fd948e42737135974bf6c7.png"/><Relationship Id="rId44" Type="http://schemas.openxmlformats.org/officeDocument/2006/relationships/image" Target="media/68d45e370e4ab8a3c4bafdcf440cb34d293a9255.png"/><Relationship Id="rId45" Type="http://schemas.openxmlformats.org/officeDocument/2006/relationships/image" Target="media/3fe8812a3136aa29736494e44ab849dc7868369a.png"/><Relationship Id="rId46" Type="http://schemas.openxmlformats.org/officeDocument/2006/relationships/image" Target="media/a1d8382ea339674a86ad98c542df97d034942bd7.png"/><Relationship Id="rId47" Type="http://schemas.openxmlformats.org/officeDocument/2006/relationships/image" Target="media/dbaedb451f19eb2ab39541b003ff01e6177ade9c.png"/><Relationship Id="rId48" Type="http://schemas.openxmlformats.org/officeDocument/2006/relationships/image" Target="media/b6d2ae5f89549048d7c9582bcdc25f29ceb9fdcd.png"/><Relationship Id="rId49" Type="http://schemas.openxmlformats.org/officeDocument/2006/relationships/image" Target="media/b37f9670dd9b87d723848d2dd6de478ef16272e2.png"/><Relationship Id="rId50" Type="http://schemas.openxmlformats.org/officeDocument/2006/relationships/image" Target="media/a8802a15131acf6d8cfb6d2b23415df3be75356e.png"/><Relationship Id="rId51" Type="http://schemas.openxmlformats.org/officeDocument/2006/relationships/image" Target="media/339b3b3fea9fdc23356260d546ff3bd5cd9a17b1.png"/><Relationship Id="rId52" Type="http://schemas.openxmlformats.org/officeDocument/2006/relationships/image" Target="media/53969dddf59bc1c8f16c396151f494cd3593db61.png"/><Relationship Id="rId53" Type="http://schemas.openxmlformats.org/officeDocument/2006/relationships/image" Target="media/30cd18c8e68475a6e62bd49f65e7c79a20aa9d06.png"/><Relationship Id="rId54" Type="http://schemas.openxmlformats.org/officeDocument/2006/relationships/image" Target="media/71234321f10eba3adcbbd976d76091adc5da5213.png"/><Relationship Id="rId55" Type="http://schemas.openxmlformats.org/officeDocument/2006/relationships/image" Target="media/ee3ce46107e934bd3d11829fefbef3a94a67d56d.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2026-10-14T21:13:50.772Z</dcterms:created>
  <dcterms:modified xsi:type="dcterms:W3CDTF">2026-10-14T21:13:50.773Z</dcterms:modified>
</cp:coreProperties>
</file>

<file path=docProps/custom.xml><?xml version="1.0" encoding="utf-8"?>
<Properties xmlns="http://schemas.openxmlformats.org/officeDocument/2006/custom-properties" xmlns:vt="http://schemas.openxmlformats.org/officeDocument/2006/docPropsVTypes"/>
</file>