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INVESTMENT RISKS</w:t>
      </w:r>
    </w:p>
    <w:p>
      <w:pPr>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with high likelihood, is a rise in long-term rates, which pushes up bond yields and the WACC; it is followed by inflation and weaker macro momentum. Not even the favourable scenarios justify the market price at the report date.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RISK ASSESSMENT</w:t>
            </w:r>
          </w:p>
          <w:p>
            <w:pPr>
              <w:spacing w:after="40" w:before="0" w:line="228" w:lineRule="auto"/>
              <w:jc w:val="both"/>
            </w:pPr>
            <w:r>
              <w:rPr>
                <w:rFonts w:ascii="Arial" w:cs="Arial" w:eastAsia="Arial" w:hAnsi="Arial"/>
                <w:color w:val="1A1A1A"/>
                <w:sz w:val="16"/>
                <w:szCs w:val="16"/>
              </w:rPr>
              <w:t xml:space="preserve">Figure 23 classifies each risk by likelihood and by its impact on value per share (Figures 24 to 26). Risks that could not be quantified are classified according to the team's qualitative analysis of the company.</w:t>
            </w:r>
          </w:p>
          <w:p>
            <w:pPr>
              <w:pBdr>
                <w:bottom w:val="single" w:color="E9004B" w:sz="8" w:space="1"/>
              </w:pBdr>
              <w:spacing w:after="50" w:before="110"/>
            </w:pPr>
            <w:r>
              <w:rPr>
                <w:rFonts w:ascii="Arial" w:cs="Arial" w:eastAsia="Arial" w:hAnsi="Arial"/>
                <w:b/>
                <w:bCs/>
                <w:color w:val="14284B"/>
                <w:sz w:val="16"/>
                <w:szCs w:val="16"/>
              </w:rPr>
              <w:t xml:space="preserve">OPERATIONAL RISKS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1,671 (−10.0%), and the historical floor of same-store rent growth takes it to CLP 1,782 (−4.0%) (Figure 24). </w:t>
            </w:r>
            <w:r>
              <w:rPr>
                <w:rFonts w:ascii="Arial" w:cs="Arial" w:eastAsia="Arial" w:hAnsi="Arial"/>
                <w:i/>
                <w:iCs/>
                <w:color w:val="5F5F5F"/>
                <w:sz w:val="16"/>
                <w:szCs w:val="16"/>
              </w:rPr>
              <w:t xml:space="preserve">(Non‑systematic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1Q22 revenue was already 18% above 1Q19.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The impact ranges from −1.3% to −4.0% (Figure 24). </w:t>
            </w:r>
            <w:r>
              <w:rPr>
                <w:rFonts w:ascii="Arial" w:cs="Arial" w:eastAsia="Arial" w:hAnsi="Arial"/>
                <w:i/>
                <w:iCs/>
                <w:color w:val="5F5F5F"/>
                <w:sz w:val="16"/>
                <w:szCs w:val="16"/>
              </w:rPr>
              <w:t xml:space="preserve">(Non‑systematic · Low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pBdr>
                <w:bottom w:val="single" w:color="E9004B" w:sz="8" w:space="1"/>
              </w:pBdr>
              <w:spacing w:after="50" w:before="110"/>
            </w:pPr>
            <w:r>
              <w:rPr>
                <w:rFonts w:ascii="Arial" w:cs="Arial" w:eastAsia="Arial" w:hAnsi="Arial"/>
                <w:b/>
                <w:bCs/>
                <w:color w:val="14284B"/>
                <w:sz w:val="16"/>
                <w:szCs w:val="16"/>
              </w:rPr>
              <w:t xml:space="preserve">FINANCIAL RISKS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WACC +50 bp and +100 bp, the target price falls 6.5% and 12.3% (Figure 25). </w:t>
            </w:r>
            <w:r>
              <w:rPr>
                <w:rFonts w:ascii="Arial" w:cs="Arial" w:eastAsia="Arial" w:hAnsi="Arial"/>
                <w:i/>
                <w:iCs/>
                <w:color w:val="5F5F5F"/>
                <w:sz w:val="16"/>
                <w:szCs w:val="16"/>
              </w:rPr>
              <w:t xml:space="preserve">(Systematic · High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pBdr>
                <w:bottom w:val="single" w:color="E9004B" w:sz="8" w:space="1"/>
              </w:pBdr>
              <w:spacing w:after="50" w:before="110"/>
            </w:pPr>
            <w:r>
              <w:rPr>
                <w:rFonts w:ascii="Arial" w:cs="Arial" w:eastAsia="Arial" w:hAnsi="Arial"/>
                <w:b/>
                <w:bCs/>
                <w:color w:val="14284B"/>
                <w:sz w:val="16"/>
                <w:szCs w:val="16"/>
              </w:rPr>
              <w:t xml:space="preserve">MARKET &amp; MACROECONOMIC RISKS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takes CLP 38,691 million off accounting earnings (Note 26). On the target price, however, the effect is slightly positive: indexed rents add CLP 40.8 per share and the higher UF debt subtracts 17.7, a net +23.1 (+1.1%) (Figure 26). The risk is that weaker consumption prevents passing the UF through to rents: without that pass-through, UF +3% takes 0.9% off the target price. Weaker consumption also slows the new business lines (Appendix [X]). </w:t>
            </w:r>
            <w:r>
              <w:rPr>
                <w:rFonts w:ascii="Arial" w:cs="Arial" w:eastAsia="Arial" w:hAnsi="Arial"/>
                <w:i/>
                <w:iCs/>
                <w:color w:val="5F5F5F"/>
                <w:sz w:val="16"/>
                <w:szCs w:val="16"/>
              </w:rPr>
              <w:t xml:space="preserve">(Systematic · High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24). </w:t>
            </w:r>
            <w:r>
              <w:rPr>
                <w:rFonts w:ascii="Arial" w:cs="Arial" w:eastAsia="Arial" w:hAnsi="Arial"/>
                <w:i/>
                <w:iCs/>
                <w:color w:val="5F5F5F"/>
                <w:sz w:val="16"/>
                <w:szCs w:val="16"/>
              </w:rPr>
              <w:t xml:space="preserve">(Systematic · Low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rises from CLP 268 to 290 between 2026 and 2031. A 10% depreciation of the PEN and COP from 2027E takes 4.3% off DCF value, before hedges and the effect on local-currency debt (team estimate). </w:t>
            </w:r>
            <w:r>
              <w:rPr>
                <w:rFonts w:ascii="Arial" w:cs="Arial" w:eastAsia="Arial" w:hAnsi="Arial"/>
                <w:i/>
                <w:iCs/>
                <w:color w:val="5F5F5F"/>
                <w:sz w:val="16"/>
                <w:szCs w:val="16"/>
              </w:rPr>
              <w:t xml:space="preserve">(Systematic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pBdr>
                <w:bottom w:val="single" w:color="E9004B" w:sz="8" w:space="1"/>
              </w:pBdr>
              <w:spacing w:after="50" w:before="110"/>
            </w:pPr>
            <w:r>
              <w:rPr>
                <w:rFonts w:ascii="Arial" w:cs="Arial" w:eastAsia="Arial" w:hAnsi="Arial"/>
                <w:b/>
                <w:bCs/>
                <w:color w:val="14284B"/>
                <w:sz w:val="16"/>
                <w:szCs w:val="16"/>
              </w:rPr>
              <w:t xml:space="preserve">REGULATORY &amp; ESG RISKS</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in tax, permitting and economic policy in all three countries. In Chile, the ruling coalition lacks a comfortable majority in the lower house for the rest of its agenda (El Dínamo, 11-Mar-26). In Peru, Fuerza Popular lacks a majority in the new bicameral Congress and the MEF puts the cost of laws passed by the previous Congress at up to S/ 50,000 million (El Comercio). In Colombia, the finance ministry puts the deficit at 7.8% of GDP and proposes spending cuts of at least 1% of GDP (El Tiempo, Jul-26), and the central bank raised its rate to 12.25% (30-Sep-26), which slows consumption. Permit delays push back the pipeline (USD 613 million, 170,200 m² to 2028). </w:t>
            </w:r>
            <w:r>
              <w:rPr>
                <w:rFonts w:ascii="Arial" w:cs="Arial" w:eastAsia="Arial" w:hAnsi="Arial"/>
                <w:i/>
                <w:iCs/>
                <w:color w:val="5F5F5F"/>
                <w:sz w:val="16"/>
                <w:szCs w:val="16"/>
              </w:rPr>
              <w:t xml:space="preserve">(Systematic · Medium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pro-investment agendas. In Chile, Kast signed the Reconstruction Law (9-Oct-26), which gradually cuts corporate tax from 27% to 23% from 2027 (Emol, 9-Oct-26), S&amp;P affirmed its A stable rating and Law 21,770 (Sep-25) shortens permitting. In Peru, the minimum-wage rise to S/ 1,300 and the doubling of Pensión 65 support consumption (Infobae, 28-Jul-26). Colombia contributes only ~11% of revenue. The model keeps 27%: the Chilean cut would add ~3.9% to the target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Risk matrix</w:t>
            </w:r>
          </w:p>
          <w:p>
            <w:pPr>
              <w:spacing w:after="20" w:before="0"/>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8764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Background colour = severity (likelihood × impact). Source: Team analysis.</w:t>
            </w:r>
          </w:p>
          <w:p>
            <w:pPr>
              <w:spacing w:after="30" w:before="10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Operational risk tornado (CLP per share)</w:t>
            </w:r>
          </w:p>
          <w:p>
            <w:pPr>
              <w:spacing w:after="20" w:before="0"/>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Limits = historical low and high of each driver: Mallplaza earnings releases 4Q23–2Q26 (EBITDA margin, occupancy, same-store rent and sales, visitors) and financial statements (maintenance capex 2024 and LTM 2Q26; appraisal growth range, Note 11). Terminal WACC 10.41% and g 3.0% held constant. Source: Mallplaza; Team analysis.</w:t>
            </w:r>
          </w:p>
          <w:p>
            <w:pPr>
              <w:spacing w:after="30" w:before="10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Target price sensitivity: WACC vs g (CLP)</w:t>
            </w:r>
          </w:p>
          <w:p>
            <w:pPr>
              <w:spacing w:after="20" w:before="0"/>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5525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Target price = 80% DCF + 20% EV/EBITDA multiples (CLP 2,951). The g = 2.0% column uses the same formula as the Sensibilidad sheet. Source: Team analysis.</w:t>
            </w:r>
          </w:p>
          <w:p>
            <w:pPr>
              <w:spacing w:after="30" w:before="10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Target price sensitivity to a rise in the UF (CLP per share)</w:t>
            </w:r>
          </w:p>
          <w:p>
            <w:pPr>
              <w:spacing w:after="20" w:before="0"/>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2763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UF level shock from 2027E; WACC and g constant. Debt: net UF exposure from Note 26. Earnings: +3% reported; +1% and +2% extrapolated. Source: financial statements Jun-26, Note 26; Team analysis.</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9ec98cb4f5e1d5ee189c51338624442507107a8.png"/><Relationship Id="rId10" Type="http://schemas.openxmlformats.org/officeDocument/2006/relationships/image" Target="media/f93973cef37e97655b8f2ee6a16d436dc31b144b.png"/><Relationship Id="rId11" Type="http://schemas.openxmlformats.org/officeDocument/2006/relationships/image" Target="media/622cee3aa81df98e2bbcd50166634b878e8dd818.png"/><Relationship Id="rId12" Type="http://schemas.openxmlformats.org/officeDocument/2006/relationships/image" Target="media/cf58b765b7de8ff377687c2671163528a8e708f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2026-10-12T23:12:32.967Z</dcterms:created>
  <dcterms:modified xsi:type="dcterms:W3CDTF">2026-10-12T23:12:32.967Z</dcterms:modified>
</cp:coreProperties>
</file>

<file path=docProps/custom.xml><?xml version="1.0" encoding="utf-8"?>
<Properties xmlns="http://schemas.openxmlformats.org/officeDocument/2006/custom-properties" xmlns:vt="http://schemas.openxmlformats.org/officeDocument/2006/docPropsVTypes"/>
</file>