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RIESGOS DE INVERSIÓN</w:t>
      </w:r>
    </w:p>
    <w:p>
      <w:pPr>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le siguen la inflación y un menor dinamismo macro.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EVALUACIÓN DE RIESGOS</w:t>
            </w:r>
          </w:p>
          <w:p>
            <w:pPr>
              <w:spacing w:after="40" w:before="0" w:line="228" w:lineRule="auto"/>
              <w:jc w:val="both"/>
            </w:pPr>
            <w:r>
              <w:rPr>
                <w:rFonts w:ascii="Arial" w:cs="Arial" w:eastAsia="Arial" w:hAnsi="Arial"/>
                <w:color w:val="1A1A1A"/>
                <w:sz w:val="16"/>
                <w:szCs w:val="16"/>
              </w:rPr>
              <w:t xml:space="preserve">La Figura 23 clasifica cada riesgo según su probabilidad y su impacto sobre el valor por acción (Figuras 24 a 26). Los riesgos que no se pudieron cuantificar se clasifican según el análisis cualitativo del equipo sobre la empresa.</w:t>
            </w:r>
          </w:p>
          <w:p>
            <w:pPr>
              <w:pBdr>
                <w:bottom w:val="single" w:color="E9004B" w:sz="8" w:space="1"/>
              </w:pBdr>
              <w:spacing w:after="50" w:before="110"/>
            </w:pPr>
            <w:r>
              <w:rPr>
                <w:rFonts w:ascii="Arial" w:cs="Arial" w:eastAsia="Arial" w:hAnsi="Arial"/>
                <w:b/>
                <w:bCs/>
                <w:color w:val="14284B"/>
                <w:sz w:val="16"/>
                <w:szCs w:val="16"/>
              </w:rPr>
              <w:t xml:space="preserve">RIESGOS OPERACIONALES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24). </w:t>
            </w:r>
            <w:r>
              <w:rPr>
                <w:rFonts w:ascii="Arial" w:cs="Arial" w:eastAsia="Arial" w:hAnsi="Arial"/>
                <w:i/>
                <w:iCs/>
                <w:color w:val="5F5F5F"/>
                <w:sz w:val="16"/>
                <w:szCs w:val="16"/>
              </w:rPr>
              <w:t xml:space="preserve">(No 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24). </w:t>
            </w:r>
            <w:r>
              <w:rPr>
                <w:rFonts w:ascii="Arial" w:cs="Arial" w:eastAsia="Arial" w:hAnsi="Arial"/>
                <w:i/>
                <w:iCs/>
                <w:color w:val="5F5F5F"/>
                <w:sz w:val="16"/>
                <w:szCs w:val="16"/>
              </w:rPr>
              <w:t xml:space="preserve">(No sistemático · Prob. baja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pBdr>
                <w:bottom w:val="single" w:color="E9004B" w:sz="8" w:space="1"/>
              </w:pBdr>
              <w:spacing w:after="50" w:before="110"/>
            </w:pPr>
            <w:r>
              <w:rPr>
                <w:rFonts w:ascii="Arial" w:cs="Arial" w:eastAsia="Arial" w:hAnsi="Arial"/>
                <w:b/>
                <w:bCs/>
                <w:color w:val="14284B"/>
                <w:sz w:val="16"/>
                <w:szCs w:val="16"/>
              </w:rPr>
              <w:t xml:space="preserve">RIESGOS FINANCIEROS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25). </w:t>
            </w:r>
            <w:r>
              <w:rPr>
                <w:rFonts w:ascii="Arial" w:cs="Arial" w:eastAsia="Arial" w:hAnsi="Arial"/>
                <w:i/>
                <w:iCs/>
                <w:color w:val="5F5F5F"/>
                <w:sz w:val="16"/>
                <w:szCs w:val="16"/>
              </w:rPr>
              <w:t xml:space="preserve">(Sistemático · Prob. alta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26). El riesgo está en que un menor consumo impida traspasar la UF a las rentas: sin ese traspaso, la UF +3% resta 0,9% al precio objetivo. Un menor consumo también frena las nuevas líneas de negocio (Anexo [X]). </w:t>
            </w:r>
            <w:r>
              <w:rPr>
                <w:rFonts w:ascii="Arial" w:cs="Arial" w:eastAsia="Arial" w:hAnsi="Arial"/>
                <w:i/>
                <w:iCs/>
                <w:color w:val="5F5F5F"/>
                <w:sz w:val="16"/>
                <w:szCs w:val="16"/>
              </w:rPr>
              <w:t xml:space="preserve">(Sistemático · Prob. alta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24). </w:t>
            </w:r>
            <w:r>
              <w:rPr>
                <w:rFonts w:ascii="Arial" w:cs="Arial" w:eastAsia="Arial" w:hAnsi="Arial"/>
                <w:i/>
                <w:iCs/>
                <w:color w:val="5F5F5F"/>
                <w:sz w:val="16"/>
                <w:szCs w:val="16"/>
              </w:rPr>
              <w:t xml:space="preserve">(Sistemático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pBdr>
                <w:bottom w:val="single" w:color="E9004B" w:sz="8" w:space="1"/>
              </w:pBdr>
              <w:spacing w:after="50" w:before="110"/>
            </w:pPr>
            <w:r>
              <w:rPr>
                <w:rFonts w:ascii="Arial" w:cs="Arial" w:eastAsia="Arial" w:hAnsi="Arial"/>
                <w:b/>
                <w:bCs/>
                <w:color w:val="14284B"/>
                <w:sz w:val="16"/>
                <w:szCs w:val="16"/>
              </w:rPr>
              <w:t xml:space="preserve">RIESGOS REGULATORIOS Y ESG</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Matriz de riesgos</w:t>
            </w:r>
          </w:p>
          <w:p>
            <w:pPr>
              <w:spacing w:after="20" w:before="0"/>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Color de fondo = severidad (probabilidad × impacto). Fuente: análisis del equipo.</w:t>
            </w:r>
          </w:p>
          <w:p>
            <w:pPr>
              <w:spacing w:after="30" w:before="10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Tornado de riesgo operacional (CLP por acción)</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spacing w:after="30" w:before="10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Sensibilidad del precio objetivo: WACC vs g (CLP)</w:t>
            </w:r>
          </w:p>
          <w:p>
            <w:pPr>
              <w:spacing w:after="20" w:before="0"/>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spacing w:after="30" w:before="10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Sensibilidad del precio objetivo a un alza de la UF (CLP por acción)</w:t>
            </w:r>
          </w:p>
          <w:p>
            <w:pPr>
              <w:spacing w:after="20" w:before="0"/>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17ef71836ed9ee19566cdd999abef6da4b2315e.png"/><Relationship Id="rId10" Type="http://schemas.openxmlformats.org/officeDocument/2006/relationships/image" Target="media/806bcde468984aadc88cffb24a22441c8f646a4a.png"/><Relationship Id="rId11" Type="http://schemas.openxmlformats.org/officeDocument/2006/relationships/image" Target="media/bf577d13a0a682b653e02a9c3ca9b3cb35eae0f3.png"/><Relationship Id="rId12" Type="http://schemas.openxmlformats.org/officeDocument/2006/relationships/image" Target="media/6e4680ecbf0aa76ff00a7a0ea476ccf717a865f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2026-10-12T23:12:32.791Z</dcterms:created>
  <dcterms:modified xsi:type="dcterms:W3CDTF">2026-10-12T23:12:32.792Z</dcterms:modified>
</cp:coreProperties>
</file>

<file path=docProps/custom.xml><?xml version="1.0" encoding="utf-8"?>
<Properties xmlns="http://schemas.openxmlformats.org/officeDocument/2006/custom-properties" xmlns:vt="http://schemas.openxmlformats.org/officeDocument/2006/docPropsVTypes"/>
</file>